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15710-09-21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סאלח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מרב גרינברג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יעל עצמון וטובי הראל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קוטיבה סאלח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רן שטרצר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bookmarkStart w:id="8" w:name="ABSTRACT_START"/>
      <w:bookmarkEnd w:id="8"/>
      <w:r>
        <w:rPr>
          <w:rtl w:val="true"/>
        </w:rPr>
        <w:t>הנאשם הורשע</w:t>
      </w:r>
      <w:r>
        <w:rPr>
          <w:rtl w:val="true"/>
        </w:rPr>
        <w:t xml:space="preserve">, </w:t>
      </w:r>
      <w:r>
        <w:rPr>
          <w:rtl w:val="true"/>
        </w:rPr>
        <w:t>במסגרת 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בעובדות כתב אישום מתוקן בעבירות </w:t>
      </w:r>
      <w:r>
        <w:rPr>
          <w:b/>
          <w:b/>
          <w:bCs/>
          <w:rtl w:val="true"/>
        </w:rPr>
        <w:t>החזקת ונשיאת 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אביזר נשק ותחמושת שלא 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לפי </w:t>
      </w:r>
      <w:hyperlink r:id="rId5">
        <w:r>
          <w:rPr>
            <w:rStyle w:val="Hyperlink"/>
            <w:b/>
            <w:b/>
            <w:bCs/>
            <w:rtl w:val="true"/>
          </w:rPr>
          <w:t>סעיפים</w:t>
        </w:r>
        <w:r>
          <w:rPr>
            <w:rStyle w:val="Hyperlink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144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 וסיפא ו</w:t>
      </w:r>
      <w:r>
        <w:rPr>
          <w:b/>
          <w:bCs/>
          <w:rtl w:val="true"/>
        </w:rPr>
        <w:t>-</w:t>
      </w:r>
      <w:hyperlink r:id="rId6">
        <w:r>
          <w:rPr>
            <w:rStyle w:val="Hyperlink"/>
            <w:b/>
            <w:bCs/>
          </w:rPr>
          <w:t>144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 וסיפא ל</w:t>
      </w:r>
      <w:hyperlink r:id="rId7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>").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bookmarkStart w:id="9" w:name="ABSTRACT_END"/>
      <w:bookmarkEnd w:id="9"/>
      <w:r>
        <w:rPr>
          <w:rtl w:val="true"/>
        </w:rPr>
        <w:t>כמפורט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עובר ליום </w:t>
      </w:r>
      <w:r>
        <w:rPr/>
        <w:t>2.9.21</w:t>
      </w:r>
      <w:r>
        <w:rPr>
          <w:rtl w:val="true"/>
        </w:rPr>
        <w:t xml:space="preserve">, </w:t>
      </w:r>
      <w:r>
        <w:rPr>
          <w:rtl w:val="true"/>
        </w:rPr>
        <w:t>במהלך חודש אוגוסט</w:t>
      </w:r>
      <w:r>
        <w:rPr>
          <w:rtl w:val="true"/>
        </w:rPr>
        <w:t xml:space="preserve">, </w:t>
      </w:r>
      <w:r>
        <w:rPr>
          <w:rtl w:val="true"/>
        </w:rPr>
        <w:t>מחוץ לביתו</w:t>
      </w:r>
      <w:r>
        <w:rPr>
          <w:rtl w:val="true"/>
        </w:rPr>
        <w:t xml:space="preserve">, </w:t>
      </w:r>
      <w:r>
        <w:rPr>
          <w:rtl w:val="true"/>
        </w:rPr>
        <w:t xml:space="preserve">הגיע לחזקתו של הנאשם רובה דמוי רובה סער מסוג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 xml:space="preserve">עם מחסנית תואמת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הרובה</w:t>
      </w:r>
      <w:r>
        <w:rPr>
          <w:rtl w:val="true"/>
        </w:rPr>
        <w:t xml:space="preserve">" </w:t>
      </w:r>
      <w:r>
        <w:rPr>
          <w:rtl w:val="true"/>
        </w:rPr>
        <w:t xml:space="preserve">או </w:t>
      </w:r>
      <w:r>
        <w:rPr>
          <w:rtl w:val="true"/>
        </w:rPr>
        <w:t>"</w:t>
      </w:r>
      <w:r>
        <w:rPr>
          <w:rtl w:val="true"/>
        </w:rPr>
        <w:t>הנשק</w:t>
      </w:r>
      <w:r>
        <w:rPr>
          <w:rtl w:val="true"/>
        </w:rPr>
        <w:t xml:space="preserve">"). </w:t>
      </w:r>
      <w:r>
        <w:rPr>
          <w:rtl w:val="true"/>
        </w:rPr>
        <w:t>הרובה היה במקורו רובה אוויר שהוסב לירי תחמושת</w:t>
      </w:r>
      <w:r>
        <w:rPr>
          <w:rtl w:val="true"/>
        </w:rPr>
        <w:t xml:space="preserve">, </w:t>
      </w:r>
      <w:r>
        <w:rPr>
          <w:rtl w:val="true"/>
        </w:rPr>
        <w:t>והינו יורה ובכוחו להמית אדם</w:t>
      </w:r>
      <w:r>
        <w:rPr>
          <w:rtl w:val="true"/>
        </w:rPr>
        <w:t xml:space="preserve">. </w:t>
      </w:r>
      <w:r>
        <w:rPr>
          <w:rtl w:val="true"/>
        </w:rPr>
        <w:t>הנאשם נשא והוביל את הרובה לביתו לצורך החזקתו</w:t>
      </w:r>
      <w:r>
        <w:rPr>
          <w:rtl w:val="true"/>
        </w:rPr>
        <w:t xml:space="preserve">, </w:t>
      </w:r>
      <w:r>
        <w:rPr>
          <w:rtl w:val="true"/>
        </w:rPr>
        <w:t>באמצעות טרקטורון שבבעלותו</w:t>
      </w:r>
      <w:r>
        <w:rPr>
          <w:rtl w:val="true"/>
        </w:rPr>
        <w:t xml:space="preserve">, </w:t>
      </w:r>
      <w:r>
        <w:rPr>
          <w:rtl w:val="true"/>
        </w:rPr>
        <w:t>והחביאו בחדרה של אחותו בת ה</w:t>
      </w:r>
      <w:r>
        <w:rPr>
          <w:rtl w:val="true"/>
        </w:rPr>
        <w:t>-</w:t>
      </w:r>
      <w:r>
        <w:rPr/>
        <w:t>17</w:t>
      </w:r>
      <w:r>
        <w:rPr>
          <w:rtl w:val="true"/>
        </w:rPr>
        <w:t xml:space="preserve">, </w:t>
      </w:r>
      <w:r>
        <w:rPr>
          <w:rtl w:val="true"/>
        </w:rPr>
        <w:t>מתחת למזרון מיטתה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ביום </w:t>
      </w:r>
      <w:r>
        <w:rPr/>
        <w:t>8.2.22</w:t>
      </w:r>
      <w:r>
        <w:rPr>
          <w:rtl w:val="true"/>
        </w:rPr>
        <w:t xml:space="preserve"> </w:t>
      </w:r>
      <w:r>
        <w:rPr>
          <w:rtl w:val="true"/>
        </w:rPr>
        <w:t>הציגו הצדדים הסדר טיעון</w:t>
      </w:r>
      <w:r>
        <w:rPr>
          <w:rtl w:val="true"/>
        </w:rPr>
        <w:t xml:space="preserve">, </w:t>
      </w:r>
      <w:r>
        <w:rPr>
          <w:rtl w:val="true"/>
        </w:rPr>
        <w:t>לפיו הנאשם יודה ויורשע בעובדות כתב אישום מתוקן</w:t>
      </w:r>
      <w:r>
        <w:rPr>
          <w:rtl w:val="true"/>
        </w:rPr>
        <w:t xml:space="preserve">, </w:t>
      </w:r>
      <w:r>
        <w:rPr>
          <w:rtl w:val="true"/>
        </w:rPr>
        <w:t>והצדדים יטענו באופן חופשי לעונש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עיקרי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בעניינו של הנאשם הוגשו שני תסקירים</w:t>
      </w:r>
      <w:r>
        <w:rPr>
          <w:rtl w:val="true"/>
        </w:rPr>
        <w:t xml:space="preserve">, </w:t>
      </w:r>
      <w:r>
        <w:rPr>
          <w:rtl w:val="true"/>
        </w:rPr>
        <w:t xml:space="preserve">על פי התסקיר הראשון </w:t>
      </w:r>
      <w:r>
        <w:rPr>
          <w:rtl w:val="true"/>
        </w:rPr>
        <w:t>(</w:t>
      </w:r>
      <w:r>
        <w:rPr/>
        <w:t>8.12.22</w:t>
      </w:r>
      <w:r>
        <w:rPr>
          <w:rtl w:val="true"/>
        </w:rPr>
        <w:t xml:space="preserve">)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נעדר הרשעות קודמות</w:t>
      </w:r>
      <w:r>
        <w:rPr>
          <w:rtl w:val="true"/>
        </w:rPr>
        <w:t xml:space="preserve">, </w:t>
      </w:r>
      <w:r>
        <w:rPr>
          <w:rtl w:val="true"/>
        </w:rPr>
        <w:t xml:space="preserve">נשר ממסגרת הלימודים בתום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 לימוד בשל מצב כלכלי בעייתי וכדי לסייע לאמו בפרנסת המשפחה</w:t>
      </w:r>
      <w:r>
        <w:rPr>
          <w:rtl w:val="true"/>
        </w:rPr>
        <w:t xml:space="preserve">. </w:t>
      </w:r>
      <w:r>
        <w:rPr>
          <w:rtl w:val="true"/>
        </w:rPr>
        <w:t xml:space="preserve">בגיל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החל לעבוד בעבודות מזדמנות</w:t>
      </w:r>
      <w:r>
        <w:rPr>
          <w:rtl w:val="true"/>
        </w:rPr>
        <w:t xml:space="preserve">, </w:t>
      </w:r>
      <w:r>
        <w:rPr>
          <w:rtl w:val="true"/>
        </w:rPr>
        <w:t>לתקופות עבד בשתי עבודות במקביל</w:t>
      </w:r>
      <w:r>
        <w:rPr>
          <w:rtl w:val="true"/>
        </w:rPr>
        <w:t xml:space="preserve">, </w:t>
      </w:r>
      <w:r>
        <w:rPr>
          <w:rtl w:val="true"/>
        </w:rPr>
        <w:t>כיום עובד כפועל בניין</w:t>
      </w:r>
      <w:r>
        <w:rPr>
          <w:rtl w:val="true"/>
        </w:rPr>
        <w:t xml:space="preserve">. </w:t>
      </w:r>
      <w:r>
        <w:rPr>
          <w:rtl w:val="true"/>
        </w:rPr>
        <w:t>אביו מתמודד עם בעיות נפשיות ומאושפז בבית חולים פסיכיאטרי</w:t>
      </w:r>
      <w:r>
        <w:rPr>
          <w:rtl w:val="true"/>
        </w:rPr>
        <w:t xml:space="preserve">, </w:t>
      </w:r>
      <w:r>
        <w:rPr>
          <w:rtl w:val="true"/>
        </w:rPr>
        <w:t>בעברו הורשע בעבירות אלימות כלפי האם וריצה מאסרים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אשר לביצוע העבירות</w:t>
      </w:r>
      <w:r>
        <w:rPr>
          <w:rtl w:val="true"/>
        </w:rPr>
        <w:t xml:space="preserve">, </w:t>
      </w:r>
      <w:r>
        <w:rPr>
          <w:rtl w:val="true"/>
        </w:rPr>
        <w:t>קיבל הנאשם אחריות על מעשיו</w:t>
      </w:r>
      <w:r>
        <w:rPr>
          <w:rtl w:val="true"/>
        </w:rPr>
        <w:t xml:space="preserve">, </w:t>
      </w:r>
      <w:r>
        <w:rPr>
          <w:rtl w:val="true"/>
        </w:rPr>
        <w:t>אך להתרשמות שירות המבחן נוטה במידה מסוימת לצמצם מחומרת התנהגותו והשלכות מעשיו</w:t>
      </w:r>
      <w:r>
        <w:rPr>
          <w:rtl w:val="true"/>
        </w:rPr>
        <w:t xml:space="preserve">.  </w:t>
      </w:r>
      <w:r>
        <w:rPr>
          <w:rtl w:val="true"/>
        </w:rPr>
        <w:t>שלל קיומם של קשרים שוליים או סכסוך ברקע להחזקת הנשק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בהיבט הטיפולי</w:t>
      </w:r>
      <w:r>
        <w:rPr>
          <w:rtl w:val="true"/>
        </w:rPr>
        <w:t xml:space="preserve"> – הנאשם השתלב בקבוצה המיועדת לעצורי בית</w:t>
      </w:r>
      <w:r>
        <w:rPr>
          <w:rtl w:val="true"/>
        </w:rPr>
        <w:t xml:space="preserve">, </w:t>
      </w:r>
      <w:r>
        <w:rPr>
          <w:rtl w:val="true"/>
        </w:rPr>
        <w:t>ולמרות התדרדרות במצבו של אביו ומורכבות משפחתית השתדל להגיע למפגשים בעקביות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שירות המבחן התרשם כי הנאשם טרם הפנים דפוסי חשיבה והתנהגות עברייניים</w:t>
      </w:r>
      <w:r>
        <w:rPr>
          <w:rtl w:val="true"/>
        </w:rPr>
        <w:t xml:space="preserve">, </w:t>
      </w:r>
      <w:r>
        <w:rPr>
          <w:rtl w:val="true"/>
        </w:rPr>
        <w:t>ייתכן כי ההליך המשפטי סייע בהרתעה</w:t>
      </w:r>
      <w:r>
        <w:rPr>
          <w:rtl w:val="true"/>
        </w:rPr>
        <w:t xml:space="preserve">. </w:t>
      </w:r>
      <w:r>
        <w:rPr>
          <w:rtl w:val="true"/>
        </w:rPr>
        <w:t>בצד זאת</w:t>
      </w:r>
      <w:r>
        <w:rPr>
          <w:rtl w:val="true"/>
        </w:rPr>
        <w:t xml:space="preserve">, </w:t>
      </w:r>
      <w:r>
        <w:rPr>
          <w:rtl w:val="true"/>
        </w:rPr>
        <w:t>נסיבותיו המשפחתיות והאחריות המוטלת עליו מגיל צעיר</w:t>
      </w:r>
      <w:r>
        <w:rPr>
          <w:rtl w:val="true"/>
        </w:rPr>
        <w:t xml:space="preserve">, </w:t>
      </w:r>
      <w:r>
        <w:rPr>
          <w:rtl w:val="true"/>
        </w:rPr>
        <w:t>באופן שלא תואם את גילו ורמת בשלותו</w:t>
      </w:r>
      <w:r>
        <w:rPr>
          <w:rtl w:val="true"/>
        </w:rPr>
        <w:t xml:space="preserve">, </w:t>
      </w:r>
      <w:r>
        <w:rPr>
          <w:rtl w:val="true"/>
        </w:rPr>
        <w:t>הובילוהו לחוויית תסכול וחיפוש אחר דרך לפורקן רגשות שליליים</w:t>
      </w:r>
      <w:r>
        <w:rPr>
          <w:rtl w:val="true"/>
        </w:rPr>
        <w:t xml:space="preserve">. </w:t>
      </w:r>
      <w:r>
        <w:rPr>
          <w:rtl w:val="true"/>
        </w:rPr>
        <w:t>לאור נכונותו להשתלב בהליך טיפולי הומלץ לערוך ניסיון לשלבו בקבוצת טיפול ודחיית מועד הגשת התסקיר הסופי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מהתסקיר השני </w:t>
      </w:r>
      <w:r>
        <w:rPr>
          <w:rtl w:val="true"/>
        </w:rPr>
        <w:t>(</w:t>
      </w:r>
      <w:r>
        <w:rPr/>
        <w:t>15.3.23</w:t>
      </w:r>
      <w:r>
        <w:rPr>
          <w:rtl w:val="true"/>
        </w:rPr>
        <w:t xml:space="preserve">) </w:t>
      </w:r>
      <w:r>
        <w:rPr>
          <w:rtl w:val="true"/>
        </w:rPr>
        <w:t>עולה כי בתקופת הדחייה השתתף הנאשם בשני מפגשים בקבוצה טיפולית היוצאת למסעות שטח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משיחה טלפונית עדכנית עמו מסר כי לא מעוניין להמשיך הטיפול בקבוצה או לקבל סיוע מגורמי טיפול מקצועיים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ברקע לדבריו חוסר וודאות וייאוש סביב הימשכות ההליך המשפטי והסנקציה העונשית שתוטל עליו</w:t>
      </w:r>
      <w:r>
        <w:rPr>
          <w:rtl w:val="true"/>
        </w:rPr>
        <w:t xml:space="preserve">. </w:t>
      </w:r>
      <w:r>
        <w:rPr>
          <w:rtl w:val="true"/>
        </w:rPr>
        <w:t>נוכח ההתרשמות כי נעדר מוטיבציה פנימית לעבור הליך טיפולי</w:t>
      </w:r>
      <w:r>
        <w:rPr>
          <w:rtl w:val="true"/>
        </w:rPr>
        <w:t xml:space="preserve">, </w:t>
      </w:r>
      <w:r>
        <w:rPr>
          <w:rtl w:val="true"/>
        </w:rPr>
        <w:t>נמנע שירות המבחן מהמלצה שיקומית בעניינו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משעל וקרת</w:t>
      </w:r>
      <w:r>
        <w:rPr>
          <w:rtl w:val="true"/>
        </w:rPr>
        <w:t xml:space="preserve">, </w:t>
      </w:r>
      <w:r>
        <w:rPr>
          <w:rtl w:val="true"/>
        </w:rPr>
        <w:t>עמדו בטיעוניהן על חומרת עבירות הנשק</w:t>
      </w:r>
      <w:r>
        <w:rPr>
          <w:rtl w:val="true"/>
        </w:rPr>
        <w:t xml:space="preserve">, </w:t>
      </w:r>
      <w:r>
        <w:rPr>
          <w:rtl w:val="true"/>
        </w:rPr>
        <w:t>הערכים המוגנים שנפגעו ופוטנציאל הנזק שעלול היה להיגרם מהחזקת נשק בלתי חוקי</w:t>
      </w:r>
      <w:r>
        <w:rPr>
          <w:rtl w:val="true"/>
        </w:rPr>
        <w:t xml:space="preserve">. </w:t>
      </w:r>
      <w:r>
        <w:rPr>
          <w:rtl w:val="true"/>
        </w:rPr>
        <w:t>עוד הדגישו לחומרה את העובדה שמדובר בנשק התקפי</w:t>
      </w:r>
      <w:r>
        <w:rPr>
          <w:rtl w:val="true"/>
        </w:rPr>
        <w:t xml:space="preserve">, </w:t>
      </w:r>
      <w:r>
        <w:rPr>
          <w:rtl w:val="true"/>
        </w:rPr>
        <w:t>ואת הסתרתו מתחת למיטתה של אחותו הקטינה באופן שסיכן אותה</w:t>
      </w:r>
      <w:r>
        <w:rPr>
          <w:rtl w:val="true"/>
        </w:rPr>
        <w:t xml:space="preserve">. </w:t>
      </w:r>
      <w:r>
        <w:rPr>
          <w:rtl w:val="true"/>
        </w:rPr>
        <w:t>בנסיבות אלו סבורות כי הפגיעה בערכים המוגנים היא ברף הבינוני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המאשימה עתרו למתחם ענישה הנע בין </w:t>
      </w:r>
      <w:r>
        <w:rPr/>
        <w:t>60-30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בהתחשב בגילו הצעיר והיעדר המלצה שיקומית</w:t>
      </w:r>
      <w:r>
        <w:rPr>
          <w:rtl w:val="true"/>
        </w:rPr>
        <w:t xml:space="preserve">, </w:t>
      </w:r>
      <w:r>
        <w:rPr>
          <w:rtl w:val="true"/>
        </w:rPr>
        <w:t>עתרו למקמו בתחתית המתחם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שטרצר</w:t>
      </w:r>
      <w:r>
        <w:rPr>
          <w:rtl w:val="true"/>
        </w:rPr>
        <w:t xml:space="preserve">, </w:t>
      </w:r>
      <w:r>
        <w:rPr>
          <w:rtl w:val="true"/>
        </w:rPr>
        <w:t>הפנה לתיקון כתב האישום לקולה ולנסיבות העבירה</w:t>
      </w:r>
      <w:r>
        <w:rPr>
          <w:rtl w:val="true"/>
        </w:rPr>
        <w:t xml:space="preserve">, </w:t>
      </w:r>
      <w:r>
        <w:rPr>
          <w:rtl w:val="true"/>
        </w:rPr>
        <w:t>שהן לשיטתו ברף הנמוך של החזקת נשק</w:t>
      </w:r>
      <w:r>
        <w:rPr>
          <w:rtl w:val="true"/>
        </w:rPr>
        <w:t xml:space="preserve">, </w:t>
      </w:r>
      <w:r>
        <w:rPr>
          <w:rtl w:val="true"/>
        </w:rPr>
        <w:t>ולכן עתר למתחם ענישה מתון יותר</w:t>
      </w:r>
      <w:r>
        <w:rPr>
          <w:rtl w:val="true"/>
        </w:rPr>
        <w:t xml:space="preserve">. </w:t>
      </w:r>
      <w:r>
        <w:rPr>
          <w:rtl w:val="true"/>
        </w:rPr>
        <w:t>עוד הפנה לכך כי המחסנית שהחזיק הייתה ריקה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הנאשם עשה מאמצים להשתלב בהליך הטיפולי שהוצע לו</w:t>
      </w:r>
      <w:r>
        <w:rPr>
          <w:rtl w:val="true"/>
        </w:rPr>
        <w:t xml:space="preserve">, </w:t>
      </w:r>
      <w:r>
        <w:rPr>
          <w:rtl w:val="true"/>
        </w:rPr>
        <w:t>אך נוכח הימשכות ההליך התקשה להתמיד בו</w:t>
      </w:r>
      <w:r>
        <w:rPr>
          <w:rtl w:val="true"/>
        </w:rPr>
        <w:t xml:space="preserve">. </w:t>
      </w:r>
      <w:r>
        <w:rPr>
          <w:rtl w:val="true"/>
        </w:rPr>
        <w:t>בצד זאת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הדרך שעבר עד כה ראויה להתחשבות</w:t>
      </w:r>
      <w:r>
        <w:rPr>
          <w:rtl w:val="true"/>
        </w:rPr>
        <w:t xml:space="preserve">. </w:t>
      </w:r>
      <w:r>
        <w:rPr>
          <w:rtl w:val="true"/>
        </w:rPr>
        <w:t xml:space="preserve">בנסיבות אלו עתר למתחם ענישה הנע בין </w:t>
      </w:r>
      <w:r>
        <w:rPr/>
        <w:t>30-15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ולמקמו בתחתיתו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הנאשם בדברו האחרון</w:t>
      </w:r>
      <w:r>
        <w:rPr>
          <w:rtl w:val="true"/>
        </w:rPr>
        <w:t xml:space="preserve"> הצר על מעשיו והבטיח שלא ישוב על טעותו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 והכרעה</w:t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 העונש ההולם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 xml:space="preserve">על ההליך שבפני חלים עקרונות הבניית שיקול הדעת השיפוטי בענישה בהתאם להוראות תיקון </w:t>
      </w:r>
      <w:r>
        <w:rPr>
          <w:rFonts w:eastAsia="Times New Roman" w:cs="Times New Roman" w:ascii="Times New Roman" w:hAnsi="Times New Roman"/>
        </w:rPr>
        <w:t>113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לחוק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פ הוראות אלו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העיקרון המנחה בענישה הינו עקרון ההלימה שפירושו קיומו של יחס הולם בין חומרת מעשה העבירה בנסיבותיו ובמידת אשמו של הנאשם ובין סוג ומידת העונש המוטל עליו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בדרכו של עקרון זה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על בית המשפט לקבוע מתחם עונש הולם למעשה העבירה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תוך שהוא מתחשב בערך החברתי המוגן שנפגע ומידת הפגיעה בו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במדיניות הענישה הנהוגה ובנסיבותיה הקונקרטיות של העבירה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בשלב הבא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לאחר שנקבע מתחם העונש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ובית המשפט לא מצא מקום לחרוג ממנו לקולא או לחומרא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נקבע העונש הראוי תוך התחשבות בנסיבות העושה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60" w:start="720" w:end="0"/>
        <w:contextualSpacing/>
        <w:jc w:val="both"/>
        <w:rPr/>
      </w:pPr>
      <w:r>
        <w:rPr>
          <w:rFonts w:ascii="Times New Roman" w:hAnsi="Times New Roman" w:eastAsia="Times New Roman" w:cs="Times New Roman"/>
          <w:rtl w:val="true"/>
        </w:rPr>
        <w:t>רבות נכתב על חומרת עבירות הנשק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קלות כחמורות ופגיעתן הקשה בערכים מוגנים של שלום הציבור ובטחונו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tl w:val="true"/>
        </w:rPr>
        <w:t>מגמת הפסיקה בשנים האחרונות מלמדת על החמרה בענישה לצורך מיגור עבירות אלו</w:t>
      </w:r>
      <w:r>
        <w:rPr>
          <w:rtl w:val="true"/>
        </w:rPr>
        <w:t xml:space="preserve">, </w:t>
      </w:r>
      <w:r>
        <w:rPr>
          <w:rtl w:val="true"/>
        </w:rPr>
        <w:t>תוך מתן משקל לשיקולי הרתעה</w:t>
      </w:r>
      <w:r>
        <w:rPr>
          <w:rtl w:val="true"/>
        </w:rPr>
        <w:t xml:space="preserve">. </w:t>
      </w:r>
      <w:r>
        <w:rPr>
          <w:rtl w:val="true"/>
        </w:rPr>
        <w:t>מגמה זו אחידה ועקבית ביחס לכלל עברייני הנשק</w:t>
      </w:r>
      <w:r>
        <w:rPr>
          <w:rtl w:val="true"/>
        </w:rPr>
        <w:t xml:space="preserve">, </w:t>
      </w:r>
      <w:r>
        <w:rPr>
          <w:rtl w:val="true"/>
        </w:rPr>
        <w:t>אף כשהם נעדרי עבר פלילי</w:t>
      </w:r>
      <w:r>
        <w:rPr>
          <w:rtl w:val="true"/>
        </w:rPr>
        <w:t xml:space="preserve">, </w:t>
      </w:r>
      <w:r>
        <w:rPr>
          <w:rtl w:val="true"/>
        </w:rPr>
        <w:t xml:space="preserve">והאירוע הוא בגדר חריג בנוף חייהם הנורמטיבי </w:t>
      </w:r>
      <w:r>
        <w:rPr>
          <w:rtl w:val="true"/>
        </w:rPr>
        <w:t>(</w:t>
      </w:r>
      <w:hyperlink r:id="rId8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2482/22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קדורה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פסקה </w:t>
      </w:r>
      <w:r>
        <w:rPr>
          <w:rFonts w:eastAsia="Times New Roman" w:cs="Times New Roman" w:ascii="Times New Roman" w:hAnsi="Times New Roman"/>
        </w:rPr>
        <w:t>6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eastAsia="Times New Roman" w:cs="Times New Roman" w:ascii="Times New Roman" w:hAnsi="Times New Roman"/>
        </w:rPr>
        <w:t>14.4.2022</w:t>
      </w:r>
      <w:r>
        <w:rPr>
          <w:rFonts w:eastAsia="Times New Roman" w:cs="Times New Roman" w:ascii="Times New Roman" w:hAnsi="Times New Roman"/>
          <w:rtl w:val="true"/>
        </w:rPr>
        <w:t>);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5813/21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 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14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31.5.2022</w:t>
      </w:r>
      <w:r>
        <w:rPr>
          <w:rtl w:val="true"/>
        </w:rPr>
        <w:t xml:space="preserve">);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6011/21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חאלד דסוקי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מדנית ישראל</w:t>
      </w:r>
      <w:r>
        <w:rPr>
          <w:rtl w:val="true"/>
        </w:rPr>
        <w:t xml:space="preserve">  </w:t>
      </w:r>
      <w:r>
        <w:rPr>
          <w:rtl w:val="true"/>
        </w:rPr>
        <w:t>(</w:t>
      </w:r>
      <w:r>
        <w:rPr/>
        <w:t>25.11.2021</w:t>
      </w:r>
      <w:r>
        <w:rPr>
          <w:rtl w:val="true"/>
        </w:rPr>
        <w:t xml:space="preserve">); </w:t>
      </w:r>
      <w:hyperlink r:id="rId11"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</w:rPr>
          <w:t>8320/21</w:t>
        </w:r>
      </w:hyperlink>
      <w:r>
        <w:rPr>
          <w:spacing w:val="1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מדינת ישראל נ</w:t>
      </w:r>
      <w:r>
        <w:rPr>
          <w:b/>
          <w:bCs/>
          <w:spacing w:val="10"/>
          <w:sz w:val="20"/>
          <w:shd w:fill="FFFFFF" w:val="clear"/>
          <w:rtl w:val="true"/>
        </w:rPr>
        <w:t xml:space="preserve">'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מחמד בסילה</w:t>
      </w:r>
      <w:r>
        <w:rPr>
          <w:spacing w:val="10"/>
          <w:sz w:val="20"/>
          <w:shd w:fill="FFFFFF" w:val="clear"/>
          <w:rtl w:val="true"/>
        </w:rPr>
        <w:t xml:space="preserve">, </w:t>
      </w:r>
      <w:r>
        <w:rPr>
          <w:spacing w:val="10"/>
          <w:sz w:val="20"/>
          <w:sz w:val="20"/>
          <w:shd w:fill="FFFFFF" w:val="clear"/>
          <w:rtl w:val="true"/>
        </w:rPr>
        <w:t>פס</w:t>
      </w:r>
      <w:r>
        <w:rPr>
          <w:spacing w:val="10"/>
          <w:sz w:val="20"/>
          <w:shd w:fill="FFFFFF" w:val="clear"/>
          <w:rtl w:val="true"/>
        </w:rPr>
        <w:t xml:space="preserve">' </w:t>
      </w:r>
      <w:r>
        <w:rPr>
          <w:spacing w:val="10"/>
          <w:sz w:val="20"/>
          <w:shd w:fill="FFFFFF" w:val="clear"/>
        </w:rPr>
        <w:t>10</w:t>
      </w:r>
      <w:r>
        <w:rPr>
          <w:spacing w:val="10"/>
          <w:sz w:val="20"/>
          <w:shd w:fill="FFFFFF" w:val="clear"/>
          <w:rtl w:val="true"/>
        </w:rPr>
        <w:t xml:space="preserve"> (</w:t>
      </w:r>
      <w:r>
        <w:rPr>
          <w:spacing w:val="10"/>
          <w:sz w:val="20"/>
          <w:shd w:fill="FFFFFF" w:val="clear"/>
        </w:rPr>
        <w:t>28.12.2021</w:t>
      </w:r>
      <w:r>
        <w:rPr>
          <w:spacing w:val="10"/>
          <w:sz w:val="20"/>
          <w:shd w:fill="FFFFFF" w:val="clear"/>
          <w:rtl w:val="true"/>
        </w:rPr>
        <w:t>)</w:t>
      </w:r>
      <w:r>
        <w:rPr>
          <w:rtl w:val="true"/>
        </w:rPr>
        <w:t xml:space="preserve">;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2283/22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 נבארי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31.7.2022</w:t>
      </w:r>
      <w:r>
        <w:rPr>
          <w:rtl w:val="true"/>
        </w:rPr>
        <w:t xml:space="preserve">);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78/21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26.7.2022</w:t>
      </w:r>
      <w:r>
        <w:rPr>
          <w:rtl w:val="true"/>
        </w:rPr>
        <w:t xml:space="preserve">);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116/13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וקנין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 (</w:t>
      </w:r>
      <w:r>
        <w:rPr/>
        <w:t>31.7.2013</w:t>
      </w:r>
      <w:r>
        <w:rPr>
          <w:rtl w:val="true"/>
        </w:rPr>
        <w:t xml:space="preserve">)).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eastAsia="David" w:cs="David"/>
        </w:rPr>
      </w:pPr>
      <w:r>
        <w:rPr>
          <w:rFonts w:ascii="Calibri" w:hAnsi="Calibri" w:eastAsia="David"/>
          <w:rtl w:val="true"/>
        </w:rPr>
        <w:t>מגמה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eastAsia="David"/>
          <w:rtl w:val="true"/>
        </w:rPr>
        <w:t>זו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eastAsia="David"/>
          <w:rtl w:val="true"/>
        </w:rPr>
        <w:t>מצאה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eastAsia="David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eastAsia="David"/>
          <w:rtl w:val="true"/>
        </w:rPr>
        <w:t>ביטויה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eastAsia="David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eastAsia="David"/>
          <w:rtl w:val="true"/>
        </w:rPr>
        <w:t>בחקיקה</w:t>
      </w:r>
      <w:r>
        <w:rPr>
          <w:rFonts w:eastAsia="David" w:cs="David" w:ascii="Calibri" w:hAnsi="Calibri"/>
          <w:rtl w:val="true"/>
        </w:rPr>
        <w:t xml:space="preserve">, </w:t>
      </w:r>
      <w:r>
        <w:rPr>
          <w:rFonts w:ascii="Calibri" w:hAnsi="Calibri" w:eastAsia="David"/>
          <w:rtl w:val="true"/>
        </w:rPr>
        <w:t>במסגרת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eastAsia="David"/>
          <w:rtl w:val="true"/>
        </w:rPr>
        <w:t>תיקון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David" w:cs="David" w:ascii="Calibri" w:hAnsi="Calibri"/>
        </w:rPr>
        <w:t>140</w:t>
      </w:r>
      <w:r>
        <w:rPr>
          <w:rFonts w:eastAsia="David" w:cs="David" w:ascii="Calibri" w:hAnsi="Calibri"/>
          <w:rtl w:val="true"/>
        </w:rPr>
        <w:t xml:space="preserve"> </w:t>
      </w:r>
      <w:r>
        <w:rPr>
          <w:rFonts w:ascii="Calibri" w:hAnsi="Calibri" w:eastAsia="David"/>
          <w:rtl w:val="true"/>
        </w:rPr>
        <w:t>לחוק</w:t>
      </w:r>
      <w:r>
        <w:rPr>
          <w:rFonts w:eastAsia="David" w:cs="David" w:ascii="Calibri" w:hAnsi="Calibri"/>
          <w:rtl w:val="true"/>
        </w:rPr>
        <w:t xml:space="preserve">, </w:t>
      </w:r>
      <w:r>
        <w:rPr>
          <w:rFonts w:ascii="Calibri" w:hAnsi="Calibri" w:eastAsia="David"/>
          <w:rtl w:val="true"/>
        </w:rPr>
        <w:t>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eastAsia="David"/>
          <w:rtl w:val="true"/>
        </w:rPr>
        <w:t>נקבעו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eastAsia="David"/>
          <w:rtl w:val="true"/>
        </w:rPr>
        <w:t>עונשי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eastAsia="David"/>
          <w:rtl w:val="true"/>
        </w:rPr>
        <w:t>מינימום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eastAsia="David"/>
          <w:rtl w:val="true"/>
        </w:rPr>
        <w:t>לעבירות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eastAsia="David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eastAsia="David"/>
          <w:rtl w:val="true"/>
        </w:rPr>
        <w:t>באשר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eastAsia="David"/>
          <w:rtl w:val="true"/>
        </w:rPr>
        <w:t>הן</w:t>
      </w:r>
      <w:r>
        <w:rPr>
          <w:rFonts w:eastAsia="David" w:cs="David" w:ascii="Calibri" w:hAnsi="Calibri"/>
          <w:rtl w:val="true"/>
        </w:rPr>
        <w:t xml:space="preserve">, </w:t>
      </w:r>
      <w:r>
        <w:rPr>
          <w:rFonts w:ascii="Calibri" w:hAnsi="Calibri" w:eastAsia="David"/>
          <w:rtl w:val="true"/>
        </w:rPr>
        <w:t>באופן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eastAsia="David"/>
          <w:rtl w:val="true"/>
        </w:rPr>
        <w:t>שככלל</w:t>
      </w:r>
      <w:r>
        <w:rPr>
          <w:rFonts w:eastAsia="David" w:cs="David" w:ascii="Calibri" w:hAnsi="Calibri"/>
          <w:rtl w:val="true"/>
        </w:rPr>
        <w:t xml:space="preserve">, </w:t>
      </w:r>
      <w:r>
        <w:rPr>
          <w:rFonts w:ascii="Calibri" w:hAnsi="Calibri" w:eastAsia="David"/>
          <w:rtl w:val="true"/>
        </w:rPr>
        <w:t>העונש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eastAsia="David"/>
          <w:rtl w:val="true"/>
        </w:rPr>
        <w:t>שיושת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eastAsia="David"/>
          <w:rtl w:val="true"/>
        </w:rPr>
        <w:t>בגין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eastAsia="David"/>
          <w:rtl w:val="true"/>
        </w:rPr>
        <w:t>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eastAsia="David"/>
          <w:rtl w:val="true"/>
        </w:rPr>
        <w:t>אלו</w:t>
      </w:r>
      <w:r>
        <w:rPr>
          <w:rFonts w:eastAsia="David" w:cs="David" w:ascii="Calibri" w:hAnsi="Calibri"/>
          <w:rtl w:val="true"/>
        </w:rPr>
        <w:t xml:space="preserve">, </w:t>
      </w:r>
      <w:r>
        <w:rPr>
          <w:rFonts w:ascii="Calibri" w:hAnsi="Calibri" w:eastAsia="David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eastAsia="David"/>
          <w:rtl w:val="true"/>
        </w:rPr>
        <w:t>יפחת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eastAsia="David"/>
          <w:rtl w:val="true"/>
        </w:rPr>
        <w:t>מרבע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eastAsia="David"/>
          <w:rtl w:val="true"/>
        </w:rPr>
        <w:t>העונש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eastAsia="David"/>
          <w:rtl w:val="true"/>
        </w:rPr>
        <w:t>המרבי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eastAsia="David"/>
          <w:rtl w:val="true"/>
        </w:rPr>
        <w:t>שנקבע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eastAsia="David"/>
          <w:rtl w:val="true"/>
        </w:rPr>
        <w:t>לעבירה</w:t>
      </w:r>
      <w:r>
        <w:rPr>
          <w:rFonts w:eastAsia="David" w:cs="David" w:ascii="Calibri" w:hAnsi="Calibri"/>
          <w:rtl w:val="true"/>
        </w:rPr>
        <w:t xml:space="preserve">. </w:t>
      </w:r>
      <w:r>
        <w:rPr>
          <w:rFonts w:ascii="Calibri" w:hAnsi="Calibri" w:eastAsia="David"/>
          <w:rtl w:val="true"/>
        </w:rPr>
        <w:t>התיקון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eastAsia="David"/>
          <w:rtl w:val="true"/>
        </w:rPr>
        <w:t>נכנס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eastAsia="David"/>
          <w:rtl w:val="true"/>
        </w:rPr>
        <w:t>לתוקף</w:t>
      </w:r>
      <w:r>
        <w:rPr>
          <w:rFonts w:eastAsia="David" w:cs="David" w:ascii="Calibri" w:hAnsi="Calibri"/>
          <w:rtl w:val="true"/>
        </w:rPr>
        <w:t xml:space="preserve">, </w:t>
      </w:r>
      <w:r>
        <w:rPr>
          <w:rFonts w:ascii="Calibri" w:hAnsi="Calibri" w:eastAsia="David"/>
          <w:rtl w:val="true"/>
        </w:rPr>
        <w:t>ביום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David" w:cs="David" w:ascii="Calibri" w:hAnsi="Calibri"/>
        </w:rPr>
        <w:t>8.12.21</w:t>
      </w:r>
      <w:r>
        <w:rPr>
          <w:rFonts w:eastAsia="David" w:cs="David" w:ascii="Calibri" w:hAnsi="Calibri"/>
          <w:rtl w:val="true"/>
        </w:rPr>
        <w:t xml:space="preserve">, </w:t>
      </w:r>
      <w:r>
        <w:rPr>
          <w:rFonts w:ascii="Calibri" w:hAnsi="Calibri" w:eastAsia="David"/>
          <w:rtl w:val="true"/>
        </w:rPr>
        <w:t>לאחר</w:t>
      </w:r>
      <w:r>
        <w:rPr>
          <w:rFonts w:ascii="Calibri" w:hAnsi="Calibri" w:eastAsia="Calibri" w:cs="Calibri"/>
          <w:rtl w:val="true"/>
        </w:rPr>
        <w:t xml:space="preserve">  </w:t>
      </w:r>
      <w:r>
        <w:rPr>
          <w:rFonts w:ascii="Calibri" w:hAnsi="Calibri" w:eastAsia="David"/>
          <w:rtl w:val="true"/>
        </w:rPr>
        <w:t>מועד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eastAsia="David"/>
          <w:rtl w:val="true"/>
        </w:rPr>
        <w:t>ביצוע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eastAsia="David"/>
          <w:rtl w:val="true"/>
        </w:rPr>
        <w:t>העבירה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eastAsia="David"/>
          <w:rtl w:val="true"/>
        </w:rPr>
        <w:t>אך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eastAsia="David"/>
          <w:rtl w:val="true"/>
        </w:rPr>
        <w:t>רוחו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eastAsia="David"/>
          <w:rtl w:val="true"/>
        </w:rPr>
        <w:t>שורה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eastAsia="David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eastAsia="David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eastAsia="David"/>
          <w:rtl w:val="true"/>
        </w:rPr>
        <w:t>המקרה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eastAsia="David"/>
          <w:rtl w:val="true"/>
        </w:rPr>
        <w:t>שבפנינו</w:t>
      </w:r>
      <w:r>
        <w:rPr>
          <w:rFonts w:eastAsia="David" w:cs="David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start="1134" w:end="1134"/>
        <w:jc w:val="both"/>
        <w:rPr>
          <w:rFonts w:ascii="Calibri" w:hAnsi="Calibri" w:eastAsia="David" w:cs="David"/>
          <w:b/>
          <w:bCs/>
        </w:rPr>
      </w:pPr>
      <w:r>
        <w:rPr>
          <w:rFonts w:eastAsia="David" w:cs="David" w:ascii="Calibri" w:hAnsi="Calibri"/>
          <w:b/>
          <w:bCs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57" w:start="714" w:end="0"/>
        <w:contextualSpacing/>
        <w:jc w:val="both"/>
        <w:textAlignment w:val="baseline"/>
        <w:rPr>
          <w:rFonts w:ascii="Times New Roman" w:hAnsi="Times New Roman" w:eastAsia="Times New Roman" w:cs="Times New Roman"/>
        </w:rPr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Fonts w:ascii="Calibri" w:hAnsi="Calibri"/>
          <w:rtl w:val="true"/>
        </w:rPr>
        <w:t>נסיבות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ביצוע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המעשים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עמומות</w:t>
      </w:r>
      <w:r>
        <w:rPr>
          <w:rFonts w:ascii="Calibri" w:hAnsi="Calibri"/>
          <w:rtl w:val="true"/>
        </w:rPr>
        <w:t xml:space="preserve">, </w:t>
      </w:r>
      <w:r>
        <w:rPr>
          <w:rFonts w:ascii="Calibri" w:hAnsi="Calibri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הסיבות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לביצועם</w:t>
      </w:r>
      <w:r>
        <w:rPr>
          <w:rFonts w:ascii="Calibri" w:hAnsi="Calibri"/>
          <w:rtl w:val="true"/>
        </w:rPr>
        <w:t xml:space="preserve">, </w:t>
      </w:r>
      <w:r>
        <w:rPr>
          <w:rtl w:val="true"/>
        </w:rPr>
        <w:t xml:space="preserve">הנאשם נשא והחזיק </w:t>
      </w:r>
      <w:r>
        <w:rPr>
          <w:rFonts w:ascii="Calibri" w:hAnsi="Calibri"/>
          <w:b/>
          <w:b/>
          <w:bCs/>
          <w:rtl w:val="true"/>
        </w:rPr>
        <w:t>נשק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התקפי</w:t>
      </w:r>
      <w:r>
        <w:rPr>
          <w:rFonts w:ascii="Calibri" w:hAnsi="Calibri"/>
          <w:rtl w:val="true"/>
        </w:rPr>
        <w:t xml:space="preserve">, </w:t>
      </w:r>
      <w:r>
        <w:rPr>
          <w:rFonts w:ascii="Calibri" w:hAnsi="Calibri"/>
          <w:rtl w:val="true"/>
        </w:rPr>
        <w:t>דמוי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רובה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סער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</w:rPr>
        <w:t>M-16</w:t>
      </w:r>
      <w:r>
        <w:rPr>
          <w:rFonts w:ascii="Calibri" w:hAnsi="Calibri"/>
          <w:rtl w:val="true"/>
        </w:rPr>
        <w:t xml:space="preserve">, </w:t>
      </w:r>
      <w:r>
        <w:rPr>
          <w:rFonts w:ascii="Calibri" w:hAnsi="Calibri"/>
          <w:rtl w:val="true"/>
        </w:rPr>
        <w:t>ומחסנית</w:t>
      </w:r>
      <w:r>
        <w:rPr>
          <w:rFonts w:ascii="Calibri" w:hAnsi="Calibri"/>
          <w:rtl w:val="true"/>
        </w:rPr>
        <w:t xml:space="preserve">, </w:t>
      </w:r>
      <w:r>
        <w:rPr>
          <w:rFonts w:ascii="Calibri" w:hAnsi="Calibri"/>
          <w:rtl w:val="true"/>
        </w:rPr>
        <w:t>והסתירו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בחדרה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אחותו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הקטינה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ללא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ידיעתה</w:t>
      </w:r>
      <w:r>
        <w:rPr>
          <w:rFonts w:ascii="Calibri" w:hAnsi="Calibri"/>
          <w:rtl w:val="true"/>
        </w:rPr>
        <w:t xml:space="preserve">, </w:t>
      </w:r>
      <w:r>
        <w:rPr>
          <w:rFonts w:ascii="Calibri" w:hAnsi="Calibri"/>
          <w:rtl w:val="true"/>
        </w:rPr>
        <w:t>באופן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שמסכן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שלומה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ושלום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משפחתו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ומגביר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פוטנציאל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הנזק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הגלום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במעשיו</w:t>
      </w:r>
      <w:r>
        <w:rPr>
          <w:rFonts w:ascii="Calibri" w:hAnsi="Calibri"/>
          <w:rtl w:val="true"/>
        </w:rPr>
        <w:t xml:space="preserve">. </w:t>
      </w:r>
      <w:r>
        <w:rPr>
          <w:rFonts w:ascii="Calibri" w:hAnsi="Calibri"/>
          <w:rtl w:val="true"/>
        </w:rPr>
        <w:t>מעשיו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מלמדים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אחיזה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בעמדות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מקלות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ביחס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לעבירה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לעבירות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בנשק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בלתי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חוקי</w:t>
      </w:r>
      <w:r>
        <w:rPr>
          <w:rFonts w:ascii="Calibri" w:hAnsi="Calibri"/>
          <w:rtl w:val="true"/>
        </w:rPr>
        <w:t xml:space="preserve">. </w:t>
      </w:r>
      <w:r>
        <w:rPr>
          <w:rFonts w:ascii="Calibri" w:hAnsi="Calibri"/>
          <w:rtl w:val="true"/>
        </w:rPr>
        <w:t>מנגד</w:t>
      </w:r>
      <w:r>
        <w:rPr>
          <w:rFonts w:ascii="Calibri" w:hAnsi="Calibri"/>
          <w:rtl w:val="true"/>
        </w:rPr>
        <w:t xml:space="preserve">, </w:t>
      </w:r>
      <w:r>
        <w:rPr>
          <w:rFonts w:ascii="Calibri" w:hAnsi="Calibri"/>
          <w:rtl w:val="true"/>
        </w:rPr>
        <w:t>הנאשם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הוביל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הנשק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ביתו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ולא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מחוץ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לו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ותקופת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החזקתו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אינה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ארוכה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(</w:t>
      </w:r>
      <w:r>
        <w:rPr>
          <w:rFonts w:ascii="Calibri" w:hAnsi="Calibri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יותר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מחודש</w:t>
      </w:r>
      <w:r>
        <w:rPr>
          <w:rFonts w:ascii="Calibri" w:hAnsi="Calibri"/>
          <w:rtl w:val="true"/>
        </w:rPr>
        <w:t xml:space="preserve">). 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60" w:start="720" w:end="0"/>
        <w:contextualSpacing/>
        <w:jc w:val="both"/>
        <w:textAlignment w:val="base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 xml:space="preserve">בחינת מידת פגיעת מעשי הנאשם בערך המוגן מובילה למסקנה כי הפגיעה היא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ברף הבינוני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בהקשר זה נתתי דעתי לכך שמדובר בנשק התקפי שאינו טעון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ולכך שאין אינדיקציה לשימוש בנשק או לתכנון עבירה פלילית באמצעותו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textAlignment w:val="baseline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b/>
          <w:bCs/>
        </w:rPr>
      </w:pPr>
      <w:r>
        <w:rPr>
          <w:rtl w:val="true"/>
        </w:rPr>
        <w:t>על דרך הכלל</w:t>
      </w:r>
      <w:r>
        <w:rPr>
          <w:rtl w:val="true"/>
        </w:rPr>
        <w:t xml:space="preserve">, </w:t>
      </w:r>
      <w:r>
        <w:rPr>
          <w:rtl w:val="true"/>
        </w:rPr>
        <w:t>דינם של עברייני הנשק</w:t>
      </w:r>
      <w:r>
        <w:rPr>
          <w:rtl w:val="true"/>
        </w:rPr>
        <w:t xml:space="preserve">, </w:t>
      </w:r>
      <w:r>
        <w:rPr>
          <w:rtl w:val="true"/>
        </w:rPr>
        <w:t>המחזיקים והנושאים</w:t>
      </w:r>
      <w:r>
        <w:rPr>
          <w:rtl w:val="true"/>
        </w:rPr>
        <w:t xml:space="preserve">, </w:t>
      </w:r>
      <w:r>
        <w:rPr>
          <w:rtl w:val="true"/>
        </w:rPr>
        <w:t>למאסר ממש לתקופה ממושכת</w:t>
      </w:r>
      <w:r>
        <w:rPr>
          <w:rtl w:val="true"/>
        </w:rPr>
        <w:t xml:space="preserve">. </w:t>
      </w:r>
      <w:r>
        <w:rPr>
          <w:rtl w:val="true"/>
        </w:rPr>
        <w:t>בית המשפט העליון מבהיר</w:t>
      </w:r>
      <w:r>
        <w:rPr>
          <w:rtl w:val="true"/>
        </w:rPr>
        <w:t xml:space="preserve">, </w:t>
      </w:r>
      <w:r>
        <w:rPr>
          <w:rtl w:val="true"/>
        </w:rPr>
        <w:t xml:space="preserve">חזור ושנה כי </w:t>
      </w:r>
      <w:r>
        <w:rPr>
          <w:rFonts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cs="Times New Roman"/>
          <w:b/>
          <w:b/>
          <w:bCs/>
          <w:rtl w:val="true"/>
        </w:rPr>
        <w:t>הטלת עונשים חמורים ומרתיעים על עברייני נשק היא עיקר תרומתם של בתי המשפט למיגור התופעה ולהרחקת העבריין עם האקדח משגרת חייהם של אזרחי מדינה שומרי חוק</w:t>
      </w:r>
      <w:r>
        <w:rPr>
          <w:rFonts w:cs="Times New Roman" w:ascii="Times New Roman" w:hAnsi="Times New Roman"/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hyperlink r:id="rId1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147/21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מדינת ישראל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ירין ביטון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14.2.2021</w:t>
      </w:r>
      <w:r>
        <w:rPr>
          <w:rtl w:val="true"/>
        </w:rPr>
        <w:t>).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בענייננו </w:t>
      </w:r>
      <w:r>
        <w:rPr>
          <w:rtl w:val="true"/>
        </w:rPr>
        <w:t>מדובר באירוע עונשי אחד</w:t>
      </w:r>
      <w:r>
        <w:rPr>
          <w:rtl w:val="true"/>
        </w:rPr>
        <w:t xml:space="preserve">, </w:t>
      </w:r>
      <w:r>
        <w:rPr>
          <w:rtl w:val="true"/>
        </w:rPr>
        <w:t>הנאשם נשא את הנשק כדי להחזיקו בביתו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5602/22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פלוני </w:t>
      </w:r>
      <w:r>
        <w:rPr>
          <w:rtl w:val="true"/>
        </w:rPr>
        <w:t>(</w:t>
      </w:r>
      <w:r>
        <w:rPr/>
        <w:t>14.9.2022</w:t>
      </w:r>
      <w:r>
        <w:rPr>
          <w:rtl w:val="true"/>
        </w:rPr>
        <w:t xml:space="preserve">) </w:t>
      </w:r>
      <w:r>
        <w:rPr>
          <w:rtl w:val="true"/>
        </w:rPr>
        <w:t>שניתן לפני מספר חודשים מסתמנת מגמת החמרה משמעותית בעבירות נשיאת נשק</w:t>
      </w:r>
      <w:r>
        <w:rPr>
          <w:rtl w:val="true"/>
        </w:rPr>
        <w:t xml:space="preserve">. </w:t>
      </w:r>
      <w:r>
        <w:rPr>
          <w:rtl w:val="true"/>
        </w:rPr>
        <w:t>במקרה זה</w:t>
      </w:r>
      <w:r>
        <w:rPr>
          <w:rtl w:val="true"/>
        </w:rPr>
        <w:t xml:space="preserve">, </w:t>
      </w:r>
      <w:r>
        <w:rPr>
          <w:rtl w:val="true"/>
        </w:rPr>
        <w:t>שנסיבותיו חמורות מזה שבפנינו</w:t>
      </w:r>
      <w:r>
        <w:rPr>
          <w:rtl w:val="true"/>
        </w:rPr>
        <w:t xml:space="preserve">, </w:t>
      </w:r>
      <w:r>
        <w:rPr>
          <w:rtl w:val="true"/>
        </w:rPr>
        <w:t>התקבל ערעור מדינה בעניינו של תושב האזור</w:t>
      </w:r>
      <w:r>
        <w:rPr>
          <w:rtl w:val="true"/>
        </w:rPr>
        <w:t xml:space="preserve">, </w:t>
      </w:r>
      <w:r>
        <w:rPr>
          <w:rtl w:val="true"/>
        </w:rPr>
        <w:t xml:space="preserve">שנשא אקדח טעון ברכב ונגזרו עליו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 שטיין</w:t>
      </w:r>
      <w:r>
        <w:rPr>
          <w:rtl w:val="true"/>
        </w:rPr>
        <w:t xml:space="preserve">) </w:t>
      </w:r>
      <w:r>
        <w:rPr>
          <w:rtl w:val="true"/>
        </w:rPr>
        <w:t xml:space="preserve">קבע מתחם ענישה ראוי שנע בין </w:t>
      </w:r>
      <w:r>
        <w:rPr/>
        <w:t>30-42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עונשו של המשיב</w:t>
      </w:r>
      <w:r>
        <w:rPr>
          <w:rtl w:val="true"/>
        </w:rPr>
        <w:t xml:space="preserve">, </w:t>
      </w:r>
      <w:r>
        <w:rPr>
          <w:rtl w:val="true"/>
        </w:rPr>
        <w:t>ללא עבר</w:t>
      </w:r>
      <w:r>
        <w:rPr>
          <w:rtl w:val="true"/>
        </w:rPr>
        <w:t xml:space="preserve">, </w:t>
      </w:r>
      <w:r>
        <w:rPr>
          <w:rtl w:val="true"/>
        </w:rPr>
        <w:t>הוחמר</w:t>
      </w:r>
      <w:r>
        <w:rPr>
          <w:rtl w:val="true"/>
        </w:rPr>
        <w:t xml:space="preserve">, </w:t>
      </w:r>
      <w:r>
        <w:rPr>
          <w:rtl w:val="true"/>
        </w:rPr>
        <w:t>מבלי למצות את הדין</w:t>
      </w:r>
      <w:r>
        <w:rPr>
          <w:rtl w:val="true"/>
        </w:rPr>
        <w:t xml:space="preserve">, </w:t>
      </w:r>
      <w:r>
        <w:rPr>
          <w:rtl w:val="true"/>
        </w:rPr>
        <w:t xml:space="preserve">למאסר בן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ב</w:t>
      </w:r>
      <w:hyperlink r:id="rId17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2141/21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חניני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>מדינת 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27.5.2021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נדחה ערעורו של נאשם שהצטייד באקדח אוויר שבוצעו בו שינויים שמאפשרים ירי של תחמושת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הוא נתפס בחצר קרובה לביתו בשעת לילה מאוחרת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כשהוא נושא את האקדח על גופו ובתוכו ארבעה כדורים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נדון למאסר בן </w:t>
      </w:r>
      <w:r>
        <w:rPr>
          <w:rFonts w:cs="Times New Roman" w:ascii="Times New Roman" w:hAnsi="Times New Roman"/>
        </w:rPr>
        <w:t>20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חודשים</w:t>
      </w:r>
      <w:r>
        <w:rPr>
          <w:rFonts w:cs="Times New Roman" w:ascii="Times New Roman" w:hAnsi="Times New Roman"/>
          <w:rtl w:val="true"/>
        </w:rPr>
        <w:t>;</w:t>
      </w:r>
    </w:p>
    <w:p>
      <w:pPr>
        <w:pStyle w:val="ListParagraph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1658/22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19.6.2022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עוזי</w:t>
      </w:r>
      <w:r>
        <w:rPr>
          <w:rtl w:val="true"/>
        </w:rPr>
        <w:t xml:space="preserve">"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; </w:t>
      </w:r>
    </w:p>
    <w:p>
      <w:pPr>
        <w:pStyle w:val="ListNumber"/>
        <w:numPr>
          <w:ilvl w:val="0"/>
          <w:numId w:val="0"/>
        </w:numPr>
        <w:tabs>
          <w:tab w:val="clear" w:pos="720"/>
          <w:tab w:val="left" w:pos="5895" w:leader="none"/>
        </w:tabs>
        <w:ind w:hanging="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Fonts w:ascii="Arial" w:hAnsi="Arial" w:cs="Arial"/>
          <w:rtl w:val="true"/>
        </w:rPr>
        <w:t>ב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34694-09-21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זהרה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26.4.2022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הורשע נאשם בנשיאת תת מקלע מאולתר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ברכבו של חברו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מוסתר בקופסת נעליים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השניים נסעו ברכב כשבכוונתם להוביל את הנשק לשטח מדינת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ענישה הנע בין </w:t>
      </w:r>
      <w:r>
        <w:rPr>
          <w:rFonts w:cs="Arial" w:ascii="Arial" w:hAnsi="Arial"/>
        </w:rPr>
        <w:t>24-12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 סטודנט לחשבונאות</w:t>
      </w:r>
      <w:r>
        <w:rPr>
          <w:rtl w:val="true"/>
        </w:rPr>
        <w:t xml:space="preserve">, </w:t>
      </w:r>
      <w:r>
        <w:rPr>
          <w:rtl w:val="true"/>
        </w:rPr>
        <w:t>בן למשפחה טובה</w:t>
      </w:r>
      <w:r>
        <w:rPr>
          <w:rtl w:val="true"/>
        </w:rPr>
        <w:t xml:space="preserve">, </w:t>
      </w:r>
      <w:r>
        <w:rPr>
          <w:rtl w:val="true"/>
        </w:rPr>
        <w:t>בעל עבר מינורי</w:t>
      </w:r>
      <w:r>
        <w:rPr>
          <w:rtl w:val="true"/>
        </w:rPr>
        <w:t xml:space="preserve">, </w:t>
      </w:r>
      <w:r>
        <w:rPr>
          <w:rtl w:val="true"/>
        </w:rPr>
        <w:t>בתסקירו נטל אחריות חלקית</w:t>
      </w:r>
      <w:r>
        <w:rPr>
          <w:rtl w:val="true"/>
        </w:rPr>
        <w:t xml:space="preserve">, </w:t>
      </w:r>
      <w:r>
        <w:rPr>
          <w:rtl w:val="true"/>
        </w:rPr>
        <w:t xml:space="preserve">נדון למאסר בן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לא הוגש ערעור</w:t>
      </w:r>
      <w:r>
        <w:rPr>
          <w:rtl w:val="true"/>
        </w:rPr>
        <w:t xml:space="preserve">;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לאחר שבחנתי את נסיבות ביצוע העבירה המצויות על קו הגבול בין עבירת החזקת הנשק לנשיאתו</w:t>
      </w:r>
      <w:r>
        <w:rPr>
          <w:rtl w:val="true"/>
        </w:rPr>
        <w:t xml:space="preserve">, </w:t>
      </w:r>
      <w:r>
        <w:rPr>
          <w:rtl w:val="true"/>
        </w:rPr>
        <w:t>מדיניות הענישה הנוהגת ומידת הפגיעה בערכים המוגנים</w:t>
      </w:r>
      <w:r>
        <w:rPr>
          <w:rtl w:val="true"/>
        </w:rPr>
        <w:t xml:space="preserve">, </w:t>
      </w:r>
      <w:r>
        <w:rPr>
          <w:rtl w:val="true"/>
        </w:rPr>
        <w:t xml:space="preserve">אני קובעת מתחם ענישה שנע </w:t>
      </w:r>
      <w:r>
        <w:rPr>
          <w:b/>
          <w:b/>
          <w:bCs/>
          <w:rtl w:val="true"/>
        </w:rPr>
        <w:t xml:space="preserve">בין </w:t>
      </w:r>
      <w:r>
        <w:rPr>
          <w:b/>
          <w:bCs/>
        </w:rPr>
        <w:t>19-42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 xml:space="preserve">הנאשם יליד </w:t>
      </w:r>
      <w:r>
        <w:rPr/>
        <w:t>1996</w:t>
      </w:r>
      <w:r>
        <w:rPr>
          <w:rtl w:val="true"/>
        </w:rPr>
        <w:t xml:space="preserve">, </w:t>
      </w:r>
      <w:r>
        <w:rPr>
          <w:rtl w:val="true"/>
        </w:rPr>
        <w:t>ללא עבר פלילי</w:t>
      </w:r>
      <w:r>
        <w:rPr>
          <w:rtl w:val="true"/>
        </w:rPr>
        <w:t xml:space="preserve">, </w:t>
      </w:r>
      <w:r>
        <w:rPr>
          <w:rtl w:val="true"/>
        </w:rPr>
        <w:t>נסיבות חייו מורכבות</w:t>
      </w:r>
      <w:r>
        <w:rPr>
          <w:rtl w:val="true"/>
        </w:rPr>
        <w:t xml:space="preserve">, </w:t>
      </w:r>
      <w:r>
        <w:rPr>
          <w:rtl w:val="true"/>
        </w:rPr>
        <w:t>הוא בן למשפחה קשת יום</w:t>
      </w:r>
      <w:r>
        <w:rPr>
          <w:rtl w:val="true"/>
        </w:rPr>
        <w:t xml:space="preserve">, </w:t>
      </w:r>
      <w:r>
        <w:rPr>
          <w:rtl w:val="true"/>
        </w:rPr>
        <w:t>אביו סובל מבעיות נפש</w:t>
      </w:r>
      <w:r>
        <w:rPr>
          <w:rtl w:val="true"/>
        </w:rPr>
        <w:t xml:space="preserve">, </w:t>
      </w:r>
      <w:r>
        <w:rPr>
          <w:rtl w:val="true"/>
        </w:rPr>
        <w:t>כיום מאושפז בבית חולים פסיכיאטרי</w:t>
      </w:r>
      <w:r>
        <w:rPr>
          <w:rtl w:val="true"/>
        </w:rPr>
        <w:t xml:space="preserve">. </w:t>
      </w:r>
      <w:r>
        <w:rPr>
          <w:rtl w:val="true"/>
        </w:rPr>
        <w:t>הנאשם נשר ממערכת הלימודים בגיל צעיר מאוד</w:t>
      </w:r>
      <w:r>
        <w:rPr>
          <w:rtl w:val="true"/>
        </w:rPr>
        <w:t xml:space="preserve">, </w:t>
      </w:r>
      <w:r>
        <w:rPr>
          <w:rtl w:val="true"/>
        </w:rPr>
        <w:t>בתום שש שנות לימוד בלבד</w:t>
      </w:r>
      <w:r>
        <w:rPr>
          <w:rtl w:val="true"/>
        </w:rPr>
        <w:t xml:space="preserve">, </w:t>
      </w:r>
      <w:r>
        <w:rPr>
          <w:rtl w:val="true"/>
        </w:rPr>
        <w:t>ומאז הקדיש את זמנו לפרנסת משפחתו</w:t>
      </w:r>
      <w:r>
        <w:rPr>
          <w:rtl w:val="true"/>
        </w:rPr>
        <w:t xml:space="preserve">.  </w:t>
      </w:r>
      <w:r>
        <w:rPr>
          <w:rtl w:val="true"/>
        </w:rPr>
        <w:t>ניכר כי הנאשם חרוץ</w:t>
      </w:r>
      <w:r>
        <w:rPr>
          <w:rtl w:val="true"/>
        </w:rPr>
        <w:t xml:space="preserve">, </w:t>
      </w:r>
      <w:r>
        <w:rPr>
          <w:rtl w:val="true"/>
        </w:rPr>
        <w:t>בעל מוסר עבודה גבוה</w:t>
      </w:r>
      <w:r>
        <w:rPr>
          <w:rtl w:val="true"/>
        </w:rPr>
        <w:t xml:space="preserve">, </w:t>
      </w:r>
      <w:r>
        <w:rPr>
          <w:rtl w:val="true"/>
        </w:rPr>
        <w:t>ונעדר דפוסי התנהלות שוליים</w:t>
      </w:r>
      <w:r>
        <w:rPr>
          <w:rtl w:val="true"/>
        </w:rPr>
        <w:t xml:space="preserve">. </w:t>
      </w:r>
      <w:r>
        <w:rPr>
          <w:rtl w:val="true"/>
        </w:rPr>
        <w:t>עוד התחשבתי בהודאתו</w:t>
      </w:r>
      <w:r>
        <w:rPr>
          <w:rtl w:val="true"/>
        </w:rPr>
        <w:t xml:space="preserve">, </w:t>
      </w:r>
      <w:r>
        <w:rPr>
          <w:rtl w:val="true"/>
        </w:rPr>
        <w:t>הבעת חרטה ותפקודו התקין</w:t>
      </w:r>
      <w:r>
        <w:rPr>
          <w:rtl w:val="true"/>
        </w:rPr>
        <w:t xml:space="preserve">. </w:t>
      </w:r>
      <w:r>
        <w:rPr>
          <w:rtl w:val="true"/>
        </w:rPr>
        <w:t>שירות המבחן התרשם</w:t>
      </w:r>
      <w:r>
        <w:rPr>
          <w:rtl w:val="true"/>
        </w:rPr>
        <w:t xml:space="preserve">, </w:t>
      </w:r>
      <w:r>
        <w:rPr>
          <w:rtl w:val="true"/>
        </w:rPr>
        <w:t>כי מגלה רצינות ומחויבות להליך הטיפולי אך ככל הנראה</w:t>
      </w:r>
      <w:r>
        <w:rPr>
          <w:rtl w:val="true"/>
        </w:rPr>
        <w:t xml:space="preserve">, </w:t>
      </w:r>
      <w:r>
        <w:rPr>
          <w:rtl w:val="true"/>
        </w:rPr>
        <w:t>שעקב נסיבות משפחתו</w:t>
      </w:r>
      <w:r>
        <w:rPr>
          <w:rtl w:val="true"/>
        </w:rPr>
        <w:t xml:space="preserve">, </w:t>
      </w:r>
      <w:r>
        <w:rPr>
          <w:rtl w:val="true"/>
        </w:rPr>
        <w:t>הדרדרות מצבו של אביו</w:t>
      </w:r>
      <w:r>
        <w:rPr>
          <w:rtl w:val="true"/>
        </w:rPr>
        <w:t xml:space="preserve">, </w:t>
      </w:r>
      <w:r>
        <w:rPr>
          <w:rtl w:val="true"/>
        </w:rPr>
        <w:t>והצורך לסייע לאמו</w:t>
      </w:r>
      <w:r>
        <w:rPr>
          <w:rtl w:val="true"/>
        </w:rPr>
        <w:t xml:space="preserve">, </w:t>
      </w:r>
      <w:r>
        <w:rPr>
          <w:rtl w:val="true"/>
        </w:rPr>
        <w:t>נאלץ להפסיק את הטיפול ולקטוע את הליך שיקומו</w:t>
      </w:r>
      <w:r>
        <w:rPr>
          <w:rtl w:val="true"/>
        </w:rPr>
        <w:t xml:space="preserve">. </w:t>
      </w:r>
      <w:r>
        <w:rPr>
          <w:rtl w:val="true"/>
        </w:rPr>
        <w:t>הנאשם היה עצור לראשונה בחייו כארבעה חודשים</w:t>
      </w:r>
      <w:r>
        <w:rPr>
          <w:rtl w:val="true"/>
        </w:rPr>
        <w:t xml:space="preserve">. </w:t>
      </w:r>
      <w:r>
        <w:rPr>
          <w:rtl w:val="true"/>
        </w:rPr>
        <w:t>מדבריו בתסקירו הסופי עולה כי עייף מניהול ההליך</w:t>
      </w:r>
      <w:r>
        <w:rPr>
          <w:rtl w:val="true"/>
        </w:rPr>
        <w:t xml:space="preserve">, </w:t>
      </w:r>
      <w:r>
        <w:rPr>
          <w:rtl w:val="true"/>
        </w:rPr>
        <w:t>שולל נזקקות טיפולית ונכון לרצות את העונש שיוטל עליו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לאחר ששקלתי את כלל השיקולים לקולה ולחומרה</w:t>
      </w:r>
      <w:r>
        <w:rPr>
          <w:rtl w:val="true"/>
        </w:rPr>
        <w:t xml:space="preserve">, </w:t>
      </w:r>
      <w:r>
        <w:rPr>
          <w:rtl w:val="true"/>
        </w:rPr>
        <w:t>מצאתי למקם את עונשו של הנאשם בתחתית מתחם הענישה</w:t>
      </w:r>
      <w:r>
        <w:rPr>
          <w:rtl w:val="true"/>
        </w:rPr>
        <w:t xml:space="preserve">, </w:t>
      </w:r>
      <w:r>
        <w:rPr>
          <w:rtl w:val="true"/>
        </w:rPr>
        <w:t>בתקווה שלמד את לקחו ויקפיד על התנהלות שומרת חוק</w:t>
      </w:r>
      <w:r>
        <w:rPr>
          <w:rtl w:val="true"/>
        </w:rPr>
        <w:t xml:space="preserve">. </w:t>
      </w:r>
      <w:r>
        <w:rPr>
          <w:rtl w:val="true"/>
        </w:rPr>
        <w:t>אשר לגובה הקנס</w:t>
      </w:r>
      <w:r>
        <w:rPr>
          <w:rtl w:val="true"/>
        </w:rPr>
        <w:t xml:space="preserve">, </w:t>
      </w:r>
      <w:r>
        <w:rPr>
          <w:rtl w:val="true"/>
        </w:rPr>
        <w:t>מצאתי להתחשב במצבו הכלכלי ובנסיבותיו המשפחתיות</w:t>
      </w:r>
      <w:r>
        <w:rPr>
          <w:rtl w:val="true"/>
        </w:rPr>
        <w:t xml:space="preserve">, </w:t>
      </w:r>
      <w:r>
        <w:rPr>
          <w:rtl w:val="true"/>
        </w:rPr>
        <w:t>אשית עליו קנס מתון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b/>
          <w:b/>
          <w:bCs/>
          <w:rtl w:val="true"/>
        </w:rPr>
        <w:t>לאור האמור לעיל אני גוזרת על הנאשם את העונשים הבאים</w:t>
      </w:r>
      <w:r>
        <w:rPr>
          <w:b/>
          <w:bCs/>
          <w:rtl w:val="true"/>
        </w:rPr>
        <w:t xml:space="preserve">: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b/>
          <w:bCs/>
        </w:rPr>
        <w:t>19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חודשי מאסר בפועל </w:t>
      </w:r>
      <w:r>
        <w:rPr>
          <w:rtl w:val="true"/>
        </w:rPr>
        <w:t xml:space="preserve">בניכוי ימי מעצרו </w:t>
      </w:r>
      <w:r>
        <w:rPr/>
        <w:t>2.9.21</w:t>
      </w:r>
      <w:r>
        <w:rPr>
          <w:rtl w:val="true"/>
        </w:rPr>
        <w:t xml:space="preserve"> </w:t>
      </w:r>
      <w:r>
        <w:rPr>
          <w:rtl w:val="true"/>
        </w:rPr>
        <w:t xml:space="preserve">עד ליום </w:t>
      </w:r>
      <w:r>
        <w:rPr/>
        <w:t>5.1.22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מאסר על תנאי בן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חודשים לבל יעבור הנאשם עבירת נשק מסוג פשע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קנס בסך </w:t>
      </w:r>
      <w:r>
        <w:rPr/>
        <w:t>2,000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 מאסר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בארבעה תשלומים שווים ורצופים החל מיום </w:t>
      </w:r>
      <w:r>
        <w:rPr/>
        <w:t>1.6.23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הנאשם יתייצב לריצוי  מאסרו ביום </w:t>
      </w:r>
      <w:r>
        <w:rPr/>
        <w:t>15.5.23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 xml:space="preserve">ר </w:t>
      </w:r>
      <w:r>
        <w:rPr>
          <w:rtl w:val="true"/>
        </w:rPr>
        <w:t>"</w:t>
      </w:r>
      <w:r>
        <w:rPr>
          <w:rtl w:val="true"/>
        </w:rPr>
        <w:t>הדרים</w:t>
      </w:r>
      <w:r>
        <w:rPr>
          <w:rtl w:val="true"/>
        </w:rPr>
        <w:t xml:space="preserve">". </w:t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למוצגים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להשמדה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 ניסן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אפריל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1"/>
      <w:footerReference w:type="default" r:id="rId2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15710-09-21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קוטיבה סאלח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b w:val="false"/>
        <w:bCs w:val="false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b w:val="false"/>
      <w:bCs w:val="false"/>
    </w:rPr>
  </w:style>
  <w:style w:type="character" w:styleId="WW8Num3z0">
    <w:name w:val="WW8Num3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Number">
    <w:name w:val="List Number"/>
    <w:basedOn w:val="Normal"/>
    <w:qFormat/>
    <w:pPr>
      <w:numPr>
        <w:ilvl w:val="0"/>
        <w:numId w:val="1"/>
      </w:numPr>
      <w:spacing w:lineRule="auto" w:line="360" w:before="0" w:after="120"/>
      <w:ind w:hanging="0" w:start="0" w:end="360"/>
    </w:pPr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eastAsia="David" w:cs="David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28513828" TargetMode="External"/><Relationship Id="rId9" Type="http://schemas.openxmlformats.org/officeDocument/2006/relationships/hyperlink" Target="http://www.nevo.co.il/case/27894608" TargetMode="External"/><Relationship Id="rId10" Type="http://schemas.openxmlformats.org/officeDocument/2006/relationships/hyperlink" Target="http://www.nevo.co.il/case/27911638" TargetMode="External"/><Relationship Id="rId11" Type="http://schemas.openxmlformats.org/officeDocument/2006/relationships/hyperlink" Target="http://www.nevo.co.il/case/28152132" TargetMode="External"/><Relationship Id="rId12" Type="http://schemas.openxmlformats.org/officeDocument/2006/relationships/hyperlink" Target="http://www.nevo.co.il/case/28452933" TargetMode="External"/><Relationship Id="rId13" Type="http://schemas.openxmlformats.org/officeDocument/2006/relationships/hyperlink" Target="http://www.nevo.co.il/case/27305799" TargetMode="External"/><Relationship Id="rId14" Type="http://schemas.openxmlformats.org/officeDocument/2006/relationships/hyperlink" Target="http://www.nevo.co.il/case/5568354" TargetMode="External"/><Relationship Id="rId15" Type="http://schemas.openxmlformats.org/officeDocument/2006/relationships/hyperlink" Target="http://www.nevo.co.il/case/27309272" TargetMode="External"/><Relationship Id="rId16" Type="http://schemas.openxmlformats.org/officeDocument/2006/relationships/hyperlink" Target="http://www.nevo.co.il/case/28883087" TargetMode="External"/><Relationship Id="rId17" Type="http://schemas.openxmlformats.org/officeDocument/2006/relationships/hyperlink" Target="http://www.nevo.co.il/case/27502726" TargetMode="External"/><Relationship Id="rId18" Type="http://schemas.openxmlformats.org/officeDocument/2006/relationships/hyperlink" Target="http://www.nevo.co.il/case/28380863" TargetMode="External"/><Relationship Id="rId19" Type="http://schemas.openxmlformats.org/officeDocument/2006/relationships/hyperlink" Target="http://www.nevo.co.il/case/28020685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2024-05-05T08:25:00Z</dcterms:created>
  <dc:creator> </dc:creator>
  <dc:description/>
  <cp:keywords/>
  <dc:language>en-IL</dc:language>
  <cp:lastModifiedBy>h1</cp:lastModifiedBy>
  <dcterms:modified xsi:type="dcterms:W3CDTF">2024-05-05T08:25:00Z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קוטיבה סאלח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28513828;27894608;27911638;28152132;28452933;27305799;5568354;27309272;28883087;27502726;28380863;28020685</vt:lpwstr>
  </property>
  <property fmtid="{D5CDD505-2E9C-101B-9397-08002B2CF9AE}" pid="9" name="CITY">
    <vt:lpwstr>מרכז</vt:lpwstr>
  </property>
  <property fmtid="{D5CDD505-2E9C-101B-9397-08002B2CF9AE}" pid="10" name="DATE">
    <vt:lpwstr>20230403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מרב גרינברג</vt:lpwstr>
  </property>
  <property fmtid="{D5CDD505-2E9C-101B-9397-08002B2CF9AE}" pid="14" name="LAWLISTTMP1">
    <vt:lpwstr>70301/144.a;144.b</vt:lpwstr>
  </property>
  <property fmtid="{D5CDD505-2E9C-101B-9397-08002B2CF9AE}" pid="15" name="LAWYER">
    <vt:lpwstr>יעל עצמון;טובי הראל;רן שטרצר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15710</vt:lpwstr>
  </property>
  <property fmtid="{D5CDD505-2E9C-101B-9397-08002B2CF9AE}" pid="22" name="NEWPARTB">
    <vt:lpwstr>09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390020230403</vt:lpwstr>
  </property>
  <property fmtid="{D5CDD505-2E9C-101B-9397-08002B2CF9AE}" pid="34" name="TYPE_N_DATE">
    <vt:lpwstr>39020230403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