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בעכו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1572-07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סנעאללה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משה אלטר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לשכת תביעות גליל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בילאל סנעאללה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 ליאת מנדל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גור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נוכח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הסניגור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סנעאללה ג</w:t>
      </w:r>
      <w:r>
        <w:rPr>
          <w:b w:val="false"/>
          <w:bCs w:val="false"/>
          <w:u w:val="none"/>
          <w:rtl w:val="true"/>
        </w:rPr>
        <w:t>'</w:t>
      </w:r>
      <w:r>
        <w:rPr>
          <w:b w:val="false"/>
          <w:b w:val="false"/>
          <w:bCs w:val="false"/>
          <w:u w:val="none"/>
          <w:rtl w:val="true"/>
        </w:rPr>
        <w:t>ואד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ק</w:t>
      </w:r>
      <w:r>
        <w:rPr>
          <w:b w:val="false"/>
          <w:bCs w:val="false"/>
          <w:u w:val="none"/>
          <w:rtl w:val="true"/>
        </w:rPr>
        <w:t xml:space="preserve">. </w:t>
      </w:r>
      <w:r>
        <w:rPr>
          <w:b w:val="false"/>
          <w:b w:val="false"/>
          <w:bCs w:val="false"/>
          <w:u w:val="none"/>
          <w:rtl w:val="true"/>
        </w:rPr>
        <w:t>המבחן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אין הופעה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S</w:t>
        </w:r>
      </w:hyperlink>
      <w:r>
        <w:rPr>
          <w:rFonts w:cs="FrankRuehl" w:ascii="FrankRuehl" w:hAnsi="FrankRuehl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C1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</w:rPr>
      </w:pP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bookmarkStart w:id="8" w:name="PsakDin"/>
      <w:bookmarkStart w:id="9" w:name="ABSTRACT_START"/>
      <w:bookmarkEnd w:id="8"/>
      <w:bookmarkEnd w:id="9"/>
      <w:r>
        <w:rPr>
          <w:sz w:val="36"/>
          <w:sz w:val="36"/>
          <w:rtl w:val="true"/>
        </w:rPr>
        <w:t xml:space="preserve">בתאריך </w:t>
      </w:r>
      <w:r>
        <w:rPr>
          <w:sz w:val="36"/>
        </w:rPr>
        <w:t>9/1/07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בשעות הצהריים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ניסה הנאשם להתפרץ לדירה  ברחוב בן שושן בעכו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בכוונה לבצע  גניבה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בשל כך הוגש נגדו  כתב האישום שבפניי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בו יוחס לו ביצוע  עבירה לפי </w:t>
      </w:r>
      <w:hyperlink r:id="rId10">
        <w:r>
          <w:rPr>
            <w:rStyle w:val="Hyperlink"/>
            <w:sz w:val="36"/>
            <w:sz w:val="36"/>
            <w:rtl w:val="true"/>
          </w:rPr>
          <w:t>סעיף</w:t>
        </w:r>
        <w:r>
          <w:rPr>
            <w:rStyle w:val="Hyperlink"/>
            <w:sz w:val="36"/>
            <w:sz w:val="36"/>
            <w:rtl w:val="true"/>
          </w:rPr>
          <w:t xml:space="preserve">  </w:t>
        </w:r>
        <w:r>
          <w:rPr>
            <w:rStyle w:val="Hyperlink"/>
            <w:sz w:val="36"/>
          </w:rPr>
          <w:t>406</w:t>
        </w:r>
        <w:r>
          <w:rPr>
            <w:rStyle w:val="Hyperlink"/>
            <w:sz w:val="36"/>
            <w:rtl w:val="true"/>
          </w:rPr>
          <w:t xml:space="preserve"> (</w:t>
        </w:r>
        <w:r>
          <w:rPr>
            <w:rStyle w:val="Hyperlink"/>
            <w:sz w:val="36"/>
            <w:sz w:val="36"/>
            <w:rtl w:val="true"/>
          </w:rPr>
          <w:t>ב</w:t>
        </w:r>
        <w:r>
          <w:rPr>
            <w:rStyle w:val="Hyperlink"/>
            <w:sz w:val="36"/>
            <w:rtl w:val="true"/>
          </w:rPr>
          <w:t xml:space="preserve">) + </w:t>
        </w:r>
        <w:r>
          <w:rPr>
            <w:rStyle w:val="Hyperlink"/>
            <w:sz w:val="36"/>
          </w:rPr>
          <w:t>25</w:t>
        </w:r>
      </w:hyperlink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</w:t>
      </w:r>
      <w:hyperlink r:id="rId11">
        <w:r>
          <w:rPr>
            <w:rStyle w:val="Hyperlink"/>
            <w:sz w:val="36"/>
            <w:sz w:val="36"/>
            <w:rtl w:val="true"/>
          </w:rPr>
          <w:t>חוק העונשין</w:t>
        </w:r>
      </w:hyperlink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תשל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 xml:space="preserve">ז </w:t>
      </w:r>
      <w:r>
        <w:rPr>
          <w:sz w:val="36"/>
          <w:rtl w:val="true"/>
        </w:rPr>
        <w:t xml:space="preserve">- </w:t>
      </w:r>
      <w:r>
        <w:rPr>
          <w:sz w:val="36"/>
        </w:rPr>
        <w:t>1977</w:t>
      </w:r>
      <w:r>
        <w:rPr>
          <w:sz w:val="36"/>
          <w:rtl w:val="true"/>
        </w:rPr>
        <w:t xml:space="preserve"> (</w:t>
      </w:r>
      <w:r>
        <w:rPr>
          <w:sz w:val="36"/>
          <w:sz w:val="36"/>
          <w:rtl w:val="true"/>
        </w:rPr>
        <w:t>להלן</w:t>
      </w:r>
      <w:r>
        <w:rPr>
          <w:sz w:val="36"/>
          <w:rtl w:val="true"/>
        </w:rPr>
        <w:t>: "</w:t>
      </w:r>
      <w:r>
        <w:rPr>
          <w:sz w:val="36"/>
          <w:sz w:val="36"/>
          <w:rtl w:val="true"/>
        </w:rPr>
        <w:t>חוק העונשין</w:t>
      </w:r>
      <w:r>
        <w:rPr>
          <w:sz w:val="36"/>
          <w:rtl w:val="true"/>
        </w:rPr>
        <w:t>").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bookmarkStart w:id="10" w:name="ABSTRACT_END"/>
      <w:bookmarkEnd w:id="10"/>
      <w:r>
        <w:rPr>
          <w:sz w:val="36"/>
          <w:sz w:val="36"/>
          <w:rtl w:val="true"/>
        </w:rPr>
        <w:t xml:space="preserve">בישיבת יום </w:t>
      </w:r>
      <w:r>
        <w:rPr>
          <w:sz w:val="36"/>
        </w:rPr>
        <w:t>12/11/07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הודה הנאשם</w:t>
      </w:r>
      <w:r>
        <w:rPr>
          <w:sz w:val="36"/>
          <w:rtl w:val="true"/>
        </w:rPr>
        <w:t xml:space="preserve">,  </w:t>
      </w:r>
      <w:r>
        <w:rPr>
          <w:sz w:val="36"/>
          <w:sz w:val="36"/>
          <w:rtl w:val="true"/>
        </w:rPr>
        <w:t>באמצעות סניגורו דאז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עו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 xml:space="preserve">ד יאסין אחמד </w:t>
      </w:r>
      <w:r>
        <w:rPr>
          <w:sz w:val="36"/>
          <w:rtl w:val="true"/>
        </w:rPr>
        <w:t>(</w:t>
      </w:r>
      <w:r>
        <w:rPr>
          <w:sz w:val="36"/>
          <w:sz w:val="36"/>
          <w:rtl w:val="true"/>
        </w:rPr>
        <w:t>להלן</w:t>
      </w:r>
      <w:r>
        <w:rPr>
          <w:sz w:val="36"/>
          <w:rtl w:val="true"/>
        </w:rPr>
        <w:t>: "</w:t>
      </w:r>
      <w:r>
        <w:rPr>
          <w:sz w:val="36"/>
          <w:sz w:val="36"/>
          <w:rtl w:val="true"/>
        </w:rPr>
        <w:t>עו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ד יאסין</w:t>
      </w:r>
      <w:r>
        <w:rPr>
          <w:sz w:val="36"/>
          <w:rtl w:val="true"/>
        </w:rPr>
        <w:t xml:space="preserve">") </w:t>
      </w:r>
      <w:r>
        <w:rPr>
          <w:sz w:val="36"/>
          <w:sz w:val="36"/>
          <w:rtl w:val="true"/>
        </w:rPr>
        <w:t>בעובדות שפורטו בכתב האישום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מאחר ועו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ד יאסין  הודיע כי  הנאשם שוקל לצרף  תיקים נוספים  התלויים ועומדים נגדו</w:t>
      </w:r>
      <w:r>
        <w:rPr>
          <w:sz w:val="36"/>
          <w:rtl w:val="true"/>
        </w:rPr>
        <w:t xml:space="preserve">,  </w:t>
      </w:r>
      <w:r>
        <w:rPr>
          <w:sz w:val="36"/>
          <w:sz w:val="36"/>
          <w:rtl w:val="true"/>
        </w:rPr>
        <w:t>נדחה התיק  להמשך במועד אחר</w:t>
      </w:r>
      <w:r>
        <w:rPr>
          <w:sz w:val="3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 xml:space="preserve">בישיבת יום </w:t>
      </w:r>
      <w:r>
        <w:rPr>
          <w:sz w:val="36"/>
        </w:rPr>
        <w:t>19/2/08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לאחר מספר דחיות ביוזמת  הנאשם ו</w:t>
      </w:r>
      <w:r>
        <w:rPr>
          <w:sz w:val="36"/>
          <w:rtl w:val="true"/>
        </w:rPr>
        <w:t>/</w:t>
      </w:r>
      <w:r>
        <w:rPr>
          <w:sz w:val="36"/>
          <w:sz w:val="36"/>
          <w:rtl w:val="true"/>
        </w:rPr>
        <w:t>או עו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ד יאסין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צירף הנאשם שלשה תיקים נוספים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כמפורט להלן</w:t>
      </w:r>
      <w:r>
        <w:rPr>
          <w:sz w:val="36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sz w:val="36"/>
        </w:rPr>
      </w:pPr>
      <w:r>
        <w:rPr>
          <w:sz w:val="36"/>
          <w:sz w:val="36"/>
          <w:rtl w:val="true"/>
        </w:rPr>
        <w:t xml:space="preserve">תיק </w:t>
      </w:r>
      <w:r>
        <w:rPr>
          <w:sz w:val="36"/>
          <w:sz w:val="36"/>
          <w:rtl w:val="true"/>
        </w:rPr>
        <w:t>פ</w:t>
      </w:r>
      <w:r>
        <w:rPr>
          <w:sz w:val="36"/>
          <w:rtl w:val="true"/>
        </w:rPr>
        <w:t>.</w:t>
      </w:r>
      <w:r>
        <w:rPr>
          <w:sz w:val="36"/>
          <w:sz w:val="36"/>
          <w:rtl w:val="true"/>
        </w:rPr>
        <w:t>א</w:t>
      </w:r>
      <w:r>
        <w:rPr>
          <w:sz w:val="36"/>
          <w:rtl w:val="true"/>
        </w:rPr>
        <w:t xml:space="preserve">. </w:t>
      </w:r>
      <w:r>
        <w:rPr>
          <w:sz w:val="36"/>
        </w:rPr>
        <w:t>8059/06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 תחנת משטרת רמלה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בו יוחס לו ביצוע עבירה לפי </w:t>
      </w:r>
      <w:hyperlink r:id="rId12">
        <w:r>
          <w:rPr>
            <w:rStyle w:val="Hyperlink"/>
            <w:color w:val="0000FF"/>
            <w:sz w:val="36"/>
            <w:sz w:val="3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36"/>
            <w:u w:val="single"/>
          </w:rPr>
          <w:t>406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ב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) + </w:t>
        </w:r>
        <w:r>
          <w:rPr>
            <w:rStyle w:val="Hyperlink"/>
            <w:color w:val="0000FF"/>
            <w:sz w:val="36"/>
            <w:u w:val="single"/>
          </w:rPr>
          <w:t>25</w:t>
        </w:r>
      </w:hyperlink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</w:t>
      </w:r>
      <w:hyperlink r:id="rId13">
        <w:r>
          <w:rPr>
            <w:rStyle w:val="Hyperlink"/>
            <w:sz w:val="36"/>
            <w:sz w:val="36"/>
            <w:rtl w:val="true"/>
          </w:rPr>
          <w:t>חוק העונשין</w:t>
        </w:r>
      </w:hyperlink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שנעברה בתאריך </w:t>
      </w:r>
      <w:r>
        <w:rPr>
          <w:sz w:val="36"/>
        </w:rPr>
        <w:t>26/09/06</w:t>
      </w:r>
      <w:r>
        <w:rPr>
          <w:sz w:val="36"/>
          <w:rtl w:val="true"/>
        </w:rPr>
        <w:t xml:space="preserve">, </w:t>
      </w:r>
    </w:p>
    <w:p>
      <w:pPr>
        <w:pStyle w:val="Normal"/>
        <w:spacing w:lineRule="auto" w:line="360"/>
        <w:ind w:start="720" w:end="0"/>
        <w:jc w:val="both"/>
        <w:rPr>
          <w:sz w:val="36"/>
        </w:rPr>
      </w:pPr>
      <w:r>
        <w:rPr>
          <w:sz w:val="36"/>
          <w:sz w:val="36"/>
          <w:rtl w:val="true"/>
        </w:rPr>
        <w:t xml:space="preserve">תיק </w:t>
      </w:r>
      <w:r>
        <w:rPr>
          <w:color w:val="000000"/>
          <w:sz w:val="36"/>
          <w:sz w:val="36"/>
          <w:rtl w:val="true"/>
        </w:rPr>
        <w:t>פ</w:t>
      </w:r>
      <w:r>
        <w:rPr>
          <w:color w:val="000000"/>
          <w:sz w:val="36"/>
          <w:rtl w:val="true"/>
        </w:rPr>
        <w:t>.</w:t>
      </w:r>
      <w:r>
        <w:rPr>
          <w:sz w:val="36"/>
          <w:sz w:val="36"/>
          <w:rtl w:val="true"/>
        </w:rPr>
        <w:t>א</w:t>
      </w:r>
      <w:r>
        <w:rPr>
          <w:sz w:val="36"/>
          <w:rtl w:val="true"/>
        </w:rPr>
        <w:t xml:space="preserve">. </w:t>
      </w:r>
      <w:r>
        <w:rPr>
          <w:sz w:val="36"/>
        </w:rPr>
        <w:t>14529/06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של משטרת מרחב דן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בו יוחס לו ביצוע עבירות לפי </w:t>
      </w:r>
      <w:hyperlink r:id="rId14">
        <w:r>
          <w:rPr>
            <w:rStyle w:val="Hyperlink"/>
            <w:color w:val="0000FF"/>
            <w:sz w:val="36"/>
            <w:sz w:val="36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sz w:val="36"/>
            <w:u w:val="single"/>
          </w:rPr>
          <w:t>406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ב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)  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ו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36"/>
            <w:u w:val="single"/>
          </w:rPr>
          <w:t>384</w:t>
        </w:r>
      </w:hyperlink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</w:t>
      </w:r>
      <w:hyperlink r:id="rId15">
        <w:r>
          <w:rPr>
            <w:rStyle w:val="Hyperlink"/>
            <w:sz w:val="36"/>
            <w:sz w:val="36"/>
            <w:rtl w:val="true"/>
          </w:rPr>
          <w:t>חוק העונשין</w:t>
        </w:r>
      </w:hyperlink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שנעברו בתאריך </w:t>
      </w:r>
      <w:r>
        <w:rPr>
          <w:sz w:val="36"/>
        </w:rPr>
        <w:t>7/11/06</w:t>
      </w:r>
    </w:p>
    <w:p>
      <w:pPr>
        <w:pStyle w:val="Normal"/>
        <w:spacing w:lineRule="auto" w:line="360"/>
        <w:ind w:start="720" w:end="0"/>
        <w:jc w:val="both"/>
        <w:rPr>
          <w:sz w:val="36"/>
        </w:rPr>
      </w:pPr>
      <w:r>
        <w:rPr>
          <w:sz w:val="36"/>
          <w:sz w:val="36"/>
          <w:rtl w:val="true"/>
        </w:rPr>
        <w:t xml:space="preserve">ותיק </w:t>
      </w:r>
      <w:r>
        <w:rPr>
          <w:color w:val="000000"/>
          <w:sz w:val="36"/>
          <w:sz w:val="36"/>
          <w:rtl w:val="true"/>
        </w:rPr>
        <w:t>פ</w:t>
      </w:r>
      <w:r>
        <w:rPr>
          <w:color w:val="000000"/>
          <w:sz w:val="36"/>
          <w:rtl w:val="true"/>
        </w:rPr>
        <w:t>.</w:t>
      </w:r>
      <w:r>
        <w:rPr>
          <w:color w:val="000000"/>
          <w:sz w:val="36"/>
          <w:sz w:val="36"/>
          <w:rtl w:val="true"/>
        </w:rPr>
        <w:t>א</w:t>
      </w:r>
      <w:r>
        <w:rPr>
          <w:color w:val="000000"/>
          <w:sz w:val="36"/>
          <w:rtl w:val="true"/>
        </w:rPr>
        <w:t xml:space="preserve">. </w:t>
      </w:r>
      <w:r>
        <w:rPr>
          <w:color w:val="000000"/>
          <w:sz w:val="36"/>
        </w:rPr>
        <w:t>14778/06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אף הוא של משטרת מרחב דן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בו יוחס לו ביצוע עבירה לפי </w:t>
      </w:r>
      <w:hyperlink r:id="rId16">
        <w:r>
          <w:rPr>
            <w:rStyle w:val="Hyperlink"/>
            <w:color w:val="0000FF"/>
            <w:sz w:val="36"/>
            <w:sz w:val="36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sz w:val="36"/>
            <w:u w:val="single"/>
          </w:rPr>
          <w:t>406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ב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) </w:t>
        </w:r>
      </w:hyperlink>
      <w:r>
        <w:rPr>
          <w:sz w:val="36"/>
          <w:rtl w:val="true"/>
        </w:rPr>
        <w:t xml:space="preserve">  </w:t>
      </w:r>
      <w:r>
        <w:rPr>
          <w:sz w:val="36"/>
          <w:sz w:val="36"/>
          <w:rtl w:val="true"/>
        </w:rPr>
        <w:t>ל</w:t>
      </w:r>
      <w:hyperlink r:id="rId17">
        <w:r>
          <w:rPr>
            <w:rStyle w:val="Hyperlink"/>
            <w:sz w:val="36"/>
            <w:sz w:val="36"/>
            <w:rtl w:val="true"/>
          </w:rPr>
          <w:t>חוק העונשין</w:t>
        </w:r>
      </w:hyperlink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שנעברה בתאריך </w:t>
      </w:r>
      <w:r>
        <w:rPr>
          <w:sz w:val="36"/>
        </w:rPr>
        <w:t>12/11/06</w:t>
      </w:r>
      <w:r>
        <w:rPr>
          <w:sz w:val="36"/>
          <w:rtl w:val="true"/>
        </w:rPr>
        <w:t>,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שגם בהם  הוא הודה ובעקבות כך הוא הורשע</w:t>
      </w:r>
      <w:r>
        <w:rPr>
          <w:sz w:val="36"/>
          <w:rtl w:val="true"/>
        </w:rPr>
        <w:t xml:space="preserve">,  </w:t>
      </w:r>
      <w:r>
        <w:rPr>
          <w:sz w:val="36"/>
          <w:sz w:val="36"/>
          <w:rtl w:val="true"/>
        </w:rPr>
        <w:t xml:space="preserve">בישיבת יום </w:t>
      </w:r>
      <w:r>
        <w:rPr>
          <w:sz w:val="36"/>
        </w:rPr>
        <w:t>19/2/08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בעבירות שיוחסו לו בכתב האישום שבפניי ובשלשת התיקים אותם צירף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לאחר שהנאשם הורשע ובטרם  טענו הצדדים לעונש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הופנה הנאשם לשירות המבחן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לצורך קבלת תסקיר בעניינו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הסניגור ביקש ששירות המבחן יתייחס גם לאפשרות  של ביטול ההרשעה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ההפנייה לשירות המבחן נעשתה  לפי בקשתו של עו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ד יאסין ובהסכמת  ב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כ המאשימה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שטרחה לציין שאין לראות בהסכמה  משום הסכמה לקבל את המלצות שירות המבחן וכי בכל מקרה תתנגד המאשימה  לביטול ההרשעה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 xml:space="preserve">בישיבת יום </w:t>
      </w:r>
      <w:r>
        <w:rPr>
          <w:sz w:val="36"/>
        </w:rPr>
        <w:t>16/09/09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לאחר מספר דחיות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רובן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למעט אחת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לבקשת שירות המבחן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במהלכן ניתנו  לא פחות מחמישה תסקירים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האחרון שבהם מ</w:t>
      </w:r>
      <w:r>
        <w:rPr>
          <w:sz w:val="36"/>
          <w:rtl w:val="true"/>
        </w:rPr>
        <w:t xml:space="preserve">- </w:t>
      </w:r>
      <w:r>
        <w:rPr>
          <w:sz w:val="36"/>
        </w:rPr>
        <w:t>10/09/09</w:t>
      </w:r>
      <w:r>
        <w:rPr>
          <w:sz w:val="36"/>
          <w:rtl w:val="true"/>
        </w:rPr>
        <w:t xml:space="preserve"> (</w:t>
      </w:r>
      <w:r>
        <w:rPr>
          <w:sz w:val="36"/>
          <w:sz w:val="36"/>
          <w:rtl w:val="true"/>
        </w:rPr>
        <w:t>להלן</w:t>
      </w:r>
      <w:r>
        <w:rPr>
          <w:sz w:val="36"/>
          <w:rtl w:val="true"/>
        </w:rPr>
        <w:t>: "</w:t>
      </w:r>
      <w:r>
        <w:rPr>
          <w:sz w:val="36"/>
          <w:sz w:val="36"/>
          <w:rtl w:val="true"/>
        </w:rPr>
        <w:t>התסקיר המסכם</w:t>
      </w:r>
      <w:r>
        <w:rPr>
          <w:sz w:val="36"/>
          <w:rtl w:val="true"/>
        </w:rPr>
        <w:t xml:space="preserve">") </w:t>
      </w:r>
      <w:r>
        <w:rPr>
          <w:sz w:val="36"/>
          <w:sz w:val="36"/>
          <w:rtl w:val="true"/>
        </w:rPr>
        <w:t>ובו המלצה להעמיד את הנאשם בפיקוח של שירות המבחן למשך  שנתיים ולהטיל עליו צו של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 xml:space="preserve">צ בהיקף של </w:t>
      </w:r>
      <w:r>
        <w:rPr>
          <w:sz w:val="36"/>
        </w:rPr>
        <w:t>220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שעות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זאת מהנימוקים שפורטו בתסקיר המסכם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טענו הצדדים לעונש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ראוי לציין ששירות המבחן נמנע מלהביע  עמדה בשאלת ביטול ההרשעה</w:t>
      </w:r>
      <w:r>
        <w:rPr>
          <w:sz w:val="36"/>
          <w:rtl w:val="true"/>
        </w:rPr>
        <w:t xml:space="preserve">,  </w:t>
      </w:r>
      <w:r>
        <w:rPr>
          <w:sz w:val="36"/>
          <w:sz w:val="36"/>
          <w:rtl w:val="true"/>
        </w:rPr>
        <w:t>זאת בשל מורכבות מצבו של הנאשם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ב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כ המאשימה ביקשה שלא לקבל את המלצת קצינת המבחן באשר לעונש ועתרה להטיל על הנאשם עונש מאסר בפועל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מאסר על תנאי וקנס</w:t>
      </w:r>
      <w:r>
        <w:rPr>
          <w:sz w:val="36"/>
          <w:rtl w:val="true"/>
        </w:rPr>
        <w:t xml:space="preserve">.  </w:t>
      </w:r>
      <w:r>
        <w:rPr>
          <w:sz w:val="36"/>
          <w:sz w:val="36"/>
          <w:rtl w:val="true"/>
        </w:rPr>
        <w:t>זאת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לאור חומרת העבירות בהן הורשע וריבויין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סניגורו הנוכחי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עו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ד נאסר סנעאללה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לעומתה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ביקש לאמץ את המלצת קצינת המבחן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תוך שציין כי הנאשם נעדר עבר פלילי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כי הוא ביצע את העבירות בהשפעת קבוצת חברים אליהם התחבר בתל </w:t>
      </w:r>
      <w:r>
        <w:rPr>
          <w:sz w:val="36"/>
          <w:rtl w:val="true"/>
        </w:rPr>
        <w:t xml:space="preserve">- </w:t>
      </w:r>
      <w:r>
        <w:rPr>
          <w:sz w:val="36"/>
          <w:sz w:val="36"/>
          <w:rtl w:val="true"/>
        </w:rPr>
        <w:t>אביב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כי הודה בהזדמנות  הראשונה וכי מאז ביצוע העבירות  חלפו כ</w:t>
      </w:r>
      <w:r>
        <w:rPr>
          <w:sz w:val="36"/>
          <w:rtl w:val="true"/>
        </w:rPr>
        <w:t xml:space="preserve">- </w:t>
      </w:r>
      <w:r>
        <w:rPr>
          <w:sz w:val="36"/>
        </w:rPr>
        <w:t>3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שנים שבמהלכן לא עבר הנאשם עבירות נוספות</w:t>
      </w:r>
      <w:r>
        <w:rPr>
          <w:sz w:val="3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ראוי לציין שהסניגור לא חזר על הבקשה לביטול ההרשעה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לאחר ששמעתי את טיעוני הצדדים  ונתתי את דעתי לאמור בתסקירים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לרבות התסקיר המסכם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הגעתי למסקנה שאין מקום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במקרה שבפניי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לקבל את המלצת שירות המבחן ויש להטיל על הנאשם עונש שיכלול גם מאסר בפועל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לריצוי מאחורי סורג ובריח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להלן הנימוקים לכך</w:t>
      </w:r>
      <w:r>
        <w:rPr>
          <w:sz w:val="3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36"/>
        </w:rPr>
      </w:pPr>
      <w:r>
        <w:rPr>
          <w:sz w:val="36"/>
          <w:sz w:val="36"/>
          <w:rtl w:val="true"/>
        </w:rPr>
        <w:t>העבירות שבביצוען  הודה הנאשם והורשע הן חמורות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מדובר בעבירות הגורמות לפגיעה בפרטיות  של הקורבן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לפגיעה בביטחון  האישי ולנזק כלכלי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>מדובר בעבירות שאחוז הגילוי בהן  הוא נמוך ביותר ולכן הדרך היחידה  להרתיע עבריינים פוטנציאליים מלבצע סוג זה של עבירות הינה בנקיטת מדיניות ענישה מרתיעה</w:t>
      </w:r>
      <w:r>
        <w:rPr>
          <w:sz w:val="36"/>
          <w:rtl w:val="true"/>
        </w:rPr>
        <w:t xml:space="preserve">.  </w:t>
      </w:r>
      <w:r>
        <w:rPr>
          <w:sz w:val="36"/>
          <w:sz w:val="36"/>
          <w:rtl w:val="true"/>
        </w:rPr>
        <w:t>כפי שעולה מהתסקירים</w:t>
      </w:r>
      <w:r>
        <w:rPr>
          <w:sz w:val="36"/>
          <w:rtl w:val="true"/>
        </w:rPr>
        <w:t xml:space="preserve">,  </w:t>
      </w:r>
      <w:r>
        <w:rPr>
          <w:sz w:val="36"/>
          <w:sz w:val="36"/>
          <w:rtl w:val="true"/>
        </w:rPr>
        <w:t xml:space="preserve">הנאשם ביצע את העבירות כדי להשיג כסף לבזבוזים וקניית מצרכים </w:t>
      </w:r>
      <w:r>
        <w:rPr>
          <w:sz w:val="36"/>
          <w:rtl w:val="true"/>
        </w:rPr>
        <w:t>(</w:t>
      </w:r>
      <w:r>
        <w:rPr>
          <w:sz w:val="36"/>
          <w:sz w:val="36"/>
          <w:rtl w:val="true"/>
        </w:rPr>
        <w:t xml:space="preserve">ראה התסקיר מיום </w:t>
      </w:r>
      <w:r>
        <w:rPr>
          <w:sz w:val="36"/>
        </w:rPr>
        <w:t>26/5/09</w:t>
      </w:r>
      <w:r>
        <w:rPr>
          <w:sz w:val="36"/>
          <w:rtl w:val="true"/>
        </w:rPr>
        <w:t xml:space="preserve">). </w:t>
      </w:r>
      <w:r>
        <w:rPr>
          <w:sz w:val="36"/>
          <w:sz w:val="36"/>
          <w:rtl w:val="true"/>
        </w:rPr>
        <w:t xml:space="preserve">סביר להניח  שביצע אותן גם לצורך השגת כסף לרכישת סמים </w:t>
      </w:r>
      <w:r>
        <w:rPr>
          <w:sz w:val="36"/>
          <w:rtl w:val="true"/>
        </w:rPr>
        <w:t xml:space="preserve">- </w:t>
      </w:r>
      <w:r>
        <w:rPr>
          <w:sz w:val="36"/>
          <w:sz w:val="36"/>
          <w:rtl w:val="true"/>
        </w:rPr>
        <w:t xml:space="preserve">כאן המקום לציין שתחילה  הכחיש הנאשם כי הוא משתמש בסמים </w:t>
      </w:r>
      <w:r>
        <w:rPr>
          <w:sz w:val="36"/>
          <w:rtl w:val="true"/>
        </w:rPr>
        <w:t>(</w:t>
      </w:r>
      <w:r>
        <w:rPr>
          <w:sz w:val="36"/>
          <w:sz w:val="36"/>
          <w:rtl w:val="true"/>
        </w:rPr>
        <w:t xml:space="preserve">ראה התסקיר  מיום </w:t>
      </w:r>
      <w:r>
        <w:rPr>
          <w:sz w:val="36"/>
        </w:rPr>
        <w:t>9/9/08</w:t>
      </w:r>
      <w:r>
        <w:rPr>
          <w:sz w:val="36"/>
          <w:rtl w:val="true"/>
        </w:rPr>
        <w:t xml:space="preserve">) </w:t>
      </w:r>
      <w:r>
        <w:rPr>
          <w:sz w:val="36"/>
          <w:sz w:val="36"/>
          <w:rtl w:val="true"/>
        </w:rPr>
        <w:t>אולם בהמשך</w:t>
      </w:r>
      <w:r>
        <w:rPr>
          <w:sz w:val="36"/>
          <w:rtl w:val="true"/>
        </w:rPr>
        <w:t xml:space="preserve">,  </w:t>
      </w:r>
      <w:r>
        <w:rPr>
          <w:sz w:val="36"/>
          <w:sz w:val="36"/>
          <w:rtl w:val="true"/>
        </w:rPr>
        <w:t>לאחר שבדיקות שתן שנעשו לו בשירות המבחן העלו שהוא צורך סמים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הוא נאלץ  להודות שהוא משתמש בסמים לעיתים קרובות 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כדרך להרגיש שמחה  ורוגע בחיים</w:t>
      </w:r>
      <w:r>
        <w:rPr>
          <w:sz w:val="36"/>
          <w:rtl w:val="true"/>
        </w:rPr>
        <w:t>" (</w:t>
      </w:r>
      <w:r>
        <w:rPr>
          <w:sz w:val="36"/>
          <w:sz w:val="36"/>
          <w:rtl w:val="true"/>
        </w:rPr>
        <w:t>ראה התסקיר המסכם</w:t>
      </w:r>
      <w:r>
        <w:rPr>
          <w:sz w:val="36"/>
          <w:rtl w:val="true"/>
        </w:rPr>
        <w:t xml:space="preserve">) - </w:t>
      </w:r>
      <w:r>
        <w:rPr>
          <w:sz w:val="36"/>
          <w:sz w:val="36"/>
          <w:rtl w:val="true"/>
        </w:rPr>
        <w:t>ואין צורך להכביר מילים על הסכנה הצפויה לרכושו של הציבור ולבטחונו מאדם  המכור לסמים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המבצע עבירות רכוש לצורך השגת כסף למימון רכישת הסם</w:t>
      </w:r>
      <w:r>
        <w:rPr>
          <w:sz w:val="3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36"/>
        </w:rPr>
      </w:pPr>
      <w:r>
        <w:rPr>
          <w:sz w:val="36"/>
          <w:sz w:val="36"/>
          <w:rtl w:val="true"/>
        </w:rPr>
        <w:t>למרות שהנאשם הופנה לשירות המבחן כבר לפני למעלה משנה וחצי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נמצא הנאשם רק בתחילת הדרך הטיפולית ואני מסופק  אם יש בו את הכוחות לעבור את הטיפול  המוצע ע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י שירות המבחן</w:t>
      </w:r>
      <w:r>
        <w:rPr>
          <w:sz w:val="36"/>
          <w:rtl w:val="true"/>
        </w:rPr>
        <w:t xml:space="preserve">. </w:t>
      </w:r>
      <w:r>
        <w:rPr>
          <w:sz w:val="36"/>
          <w:sz w:val="36"/>
          <w:rtl w:val="true"/>
        </w:rPr>
        <w:t xml:space="preserve">הרושם שלי הוא  שהנכונות שלו לקשר טיפולי עם שירות המבחן ועם עמותת </w:t>
      </w:r>
      <w:r>
        <w:rPr>
          <w:sz w:val="36"/>
          <w:rtl w:val="true"/>
        </w:rPr>
        <w:t>"</w:t>
      </w:r>
      <w:r>
        <w:rPr>
          <w:sz w:val="36"/>
          <w:sz w:val="36"/>
          <w:rtl w:val="true"/>
        </w:rPr>
        <w:t>אפשר</w:t>
      </w:r>
      <w:r>
        <w:rPr>
          <w:sz w:val="36"/>
          <w:rtl w:val="true"/>
        </w:rPr>
        <w:t xml:space="preserve">" </w:t>
      </w:r>
      <w:r>
        <w:rPr>
          <w:sz w:val="36"/>
          <w:sz w:val="36"/>
          <w:rtl w:val="true"/>
        </w:rPr>
        <w:t>אינה כנה ונובעת  רק מהחשש מפני העונש שיוטל עליו  אם לא יביע נכונות כזו</w:t>
      </w:r>
      <w:r>
        <w:rPr>
          <w:sz w:val="36"/>
          <w:rtl w:val="true"/>
        </w:rPr>
        <w:t xml:space="preserve">.  </w:t>
      </w:r>
      <w:r>
        <w:rPr>
          <w:sz w:val="36"/>
          <w:sz w:val="36"/>
          <w:rtl w:val="true"/>
        </w:rPr>
        <w:t xml:space="preserve">עובדה שבתחילה  לא היה הנאשם מעוניין  בקשר כזה </w:t>
      </w:r>
      <w:r>
        <w:rPr>
          <w:sz w:val="36"/>
          <w:rtl w:val="true"/>
        </w:rPr>
        <w:t>(</w:t>
      </w:r>
      <w:r>
        <w:rPr>
          <w:sz w:val="36"/>
          <w:sz w:val="36"/>
          <w:rtl w:val="true"/>
        </w:rPr>
        <w:t xml:space="preserve">ראה התסקיר מיום </w:t>
      </w:r>
      <w:r>
        <w:rPr>
          <w:sz w:val="36"/>
        </w:rPr>
        <w:t>5/2/09</w:t>
      </w:r>
      <w:r>
        <w:rPr>
          <w:sz w:val="36"/>
          <w:rtl w:val="true"/>
        </w:rPr>
        <w:t xml:space="preserve">). </w:t>
      </w:r>
      <w:r>
        <w:rPr>
          <w:sz w:val="36"/>
          <w:sz w:val="36"/>
          <w:rtl w:val="true"/>
        </w:rPr>
        <w:t>משזה המצב</w:t>
      </w:r>
      <w:r>
        <w:rPr>
          <w:sz w:val="36"/>
          <w:rtl w:val="true"/>
        </w:rPr>
        <w:t xml:space="preserve">,  </w:t>
      </w:r>
      <w:r>
        <w:rPr>
          <w:sz w:val="36"/>
          <w:sz w:val="36"/>
          <w:rtl w:val="true"/>
        </w:rPr>
        <w:t>סיכויי הצלחת הטיפול קלושים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36"/>
        </w:rPr>
      </w:pPr>
      <w:r>
        <w:rPr>
          <w:sz w:val="36"/>
          <w:sz w:val="36"/>
          <w:rtl w:val="true"/>
        </w:rPr>
        <w:t>רק בשל עברו הנקי של הנאשם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הודאתו והזמן  שחלף מאז בוצעו  העבירות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לא אמצה את הדין עם הנאשם ואסתפק  בהטלת עונש מאסר לתקופה קצרה יחסית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בתוספת מאסר על תנאי וקנס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sz w:val="36"/>
          <w:rtl w:val="true"/>
        </w:rPr>
        <w:t>סיכומו של דבר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מוטל על הנאשם עונש כדלקמן</w:t>
      </w:r>
      <w:r>
        <w:rPr>
          <w:sz w:val="3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  <w:t>*</w:t>
        <w:tab/>
      </w:r>
      <w:r>
        <w:rPr>
          <w:sz w:val="36"/>
          <w:sz w:val="36"/>
          <w:rtl w:val="true"/>
        </w:rPr>
        <w:t xml:space="preserve">קנס בסך </w:t>
      </w:r>
      <w:r>
        <w:rPr>
          <w:sz w:val="36"/>
        </w:rPr>
        <w:t>2,500</w:t>
      </w:r>
      <w:r>
        <w:rPr>
          <w:sz w:val="36"/>
          <w:rtl w:val="true"/>
        </w:rPr>
        <w:t xml:space="preserve"> ₪. </w:t>
      </w:r>
      <w:r>
        <w:rPr>
          <w:sz w:val="36"/>
          <w:sz w:val="36"/>
          <w:rtl w:val="true"/>
        </w:rPr>
        <w:t>הקנס ישולם ב</w:t>
      </w:r>
      <w:r>
        <w:rPr>
          <w:sz w:val="36"/>
          <w:rtl w:val="true"/>
        </w:rPr>
        <w:t xml:space="preserve">- </w:t>
      </w:r>
      <w:r>
        <w:rPr>
          <w:sz w:val="36"/>
        </w:rPr>
        <w:t>10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 xml:space="preserve">תשלומים בסך </w:t>
      </w:r>
      <w:r>
        <w:rPr>
          <w:sz w:val="36"/>
        </w:rPr>
        <w:t>250</w:t>
      </w:r>
      <w:r>
        <w:rPr>
          <w:sz w:val="36"/>
          <w:rtl w:val="true"/>
        </w:rPr>
        <w:t xml:space="preserve"> ₪ </w:t>
      </w:r>
      <w:r>
        <w:rPr>
          <w:sz w:val="36"/>
          <w:sz w:val="36"/>
          <w:rtl w:val="true"/>
        </w:rPr>
        <w:t>כל אחד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 xml:space="preserve">בכל </w:t>
      </w:r>
      <w:r>
        <w:rPr>
          <w:sz w:val="36"/>
        </w:rPr>
        <w:t>15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לחודש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החל מ</w:t>
      </w:r>
      <w:r>
        <w:rPr>
          <w:sz w:val="36"/>
          <w:rtl w:val="true"/>
        </w:rPr>
        <w:t xml:space="preserve">- </w:t>
      </w:r>
      <w:r>
        <w:rPr>
          <w:sz w:val="36"/>
        </w:rPr>
        <w:t>15/5/10</w:t>
      </w:r>
      <w:r>
        <w:rPr>
          <w:sz w:val="36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  <w:tab/>
      </w:r>
      <w:r>
        <w:rPr>
          <w:sz w:val="36"/>
          <w:sz w:val="36"/>
          <w:rtl w:val="true"/>
        </w:rPr>
        <w:t>אי עמידה במועד של תשלום אחד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תעמיד את כל היתרה לתשלום מיידי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  <w:t>*</w:t>
        <w:tab/>
      </w:r>
      <w:r>
        <w:rPr>
          <w:sz w:val="36"/>
          <w:sz w:val="36"/>
          <w:rtl w:val="true"/>
        </w:rPr>
        <w:t xml:space="preserve">מאסר לתקופה של </w:t>
      </w:r>
      <w:r>
        <w:rPr>
          <w:sz w:val="36"/>
        </w:rPr>
        <w:t>5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חודשים</w:t>
      </w:r>
      <w:r>
        <w:rPr>
          <w:sz w:val="36"/>
          <w:rtl w:val="true"/>
        </w:rPr>
        <w:t xml:space="preserve">, </w:t>
      </w:r>
      <w:r>
        <w:rPr>
          <w:sz w:val="36"/>
          <w:sz w:val="36"/>
          <w:rtl w:val="true"/>
        </w:rPr>
        <w:t>לריצוי מאחורי סורג ובריח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  <w:t>*</w:t>
        <w:tab/>
      </w:r>
      <w:r>
        <w:rPr>
          <w:sz w:val="36"/>
          <w:sz w:val="36"/>
          <w:rtl w:val="true"/>
        </w:rPr>
        <w:t xml:space="preserve">מאסר על תנאי לתקופה של </w:t>
      </w:r>
      <w:r>
        <w:rPr>
          <w:sz w:val="36"/>
        </w:rPr>
        <w:t>10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 xml:space="preserve">חודשים למשך </w:t>
      </w:r>
      <w:r>
        <w:rPr>
          <w:sz w:val="36"/>
        </w:rPr>
        <w:t>3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 xml:space="preserve">שנים מיום שחרורו מהמאסר והתנאי הוא כי הנאשם לא יעבור בתקופה זו  כל עבירה מהעבירות  המנויות </w:t>
      </w:r>
      <w:hyperlink r:id="rId18">
        <w:r>
          <w:rPr>
            <w:rStyle w:val="Hyperlink"/>
            <w:color w:val="0000FF"/>
            <w:sz w:val="36"/>
            <w:sz w:val="36"/>
            <w:u w:val="single"/>
            <w:rtl w:val="true"/>
          </w:rPr>
          <w:t>בסימנים א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', 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ג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', 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ד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ו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ה</w:t>
        </w:r>
        <w:r>
          <w:rPr>
            <w:rStyle w:val="Hyperlink"/>
            <w:color w:val="0000FF"/>
            <w:sz w:val="36"/>
            <w:u w:val="single"/>
            <w:rtl w:val="true"/>
          </w:rPr>
          <w:t>'</w:t>
        </w:r>
        <w:r>
          <w:rPr>
            <w:rStyle w:val="Hyperlink"/>
            <w:color w:val="0000FF"/>
            <w:sz w:val="36"/>
            <w:u w:val="single"/>
          </w:rPr>
          <w:t>1</w:t>
        </w:r>
        <w:r>
          <w:rPr>
            <w:rStyle w:val="Hyperlink"/>
            <w:color w:val="0000FF"/>
            <w:sz w:val="3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6"/>
            <w:sz w:val="36"/>
            <w:u w:val="single"/>
            <w:rtl w:val="true"/>
          </w:rPr>
          <w:t>לפרק יא</w:t>
        </w:r>
        <w:r>
          <w:rPr>
            <w:rStyle w:val="Hyperlink"/>
            <w:color w:val="0000FF"/>
            <w:sz w:val="36"/>
            <w:u w:val="single"/>
            <w:rtl w:val="true"/>
          </w:rPr>
          <w:t>'</w:t>
        </w:r>
      </w:hyperlink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ל</w:t>
      </w:r>
      <w:hyperlink r:id="rId19">
        <w:r>
          <w:rPr>
            <w:rStyle w:val="Hyperlink"/>
            <w:sz w:val="36"/>
            <w:sz w:val="36"/>
            <w:rtl w:val="true"/>
          </w:rPr>
          <w:t>חוק העונשין</w:t>
        </w:r>
      </w:hyperlink>
      <w:r>
        <w:rPr>
          <w:sz w:val="36"/>
          <w:sz w:val="36"/>
          <w:rtl w:val="true"/>
        </w:rPr>
        <w:t xml:space="preserve"> ויורשע עליה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sz w:val="36"/>
          <w:rtl w:val="true"/>
        </w:rPr>
        <w:t xml:space="preserve">הודע כי לצדדים זכות ערעור  תוך </w:t>
      </w:r>
      <w:r>
        <w:rPr>
          <w:sz w:val="36"/>
        </w:rPr>
        <w:t>45</w:t>
      </w:r>
      <w:r>
        <w:rPr>
          <w:sz w:val="36"/>
          <w:rtl w:val="true"/>
        </w:rPr>
        <w:t xml:space="preserve"> </w:t>
      </w:r>
      <w:r>
        <w:rPr>
          <w:sz w:val="36"/>
          <w:sz w:val="36"/>
          <w:rtl w:val="true"/>
        </w:rPr>
        <w:t>יום מהיום</w:t>
      </w:r>
      <w:r>
        <w:rPr>
          <w:sz w:val="36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הסניגור ובהעדר 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36"/>
        </w:rPr>
      </w:pPr>
      <w:r>
        <w:rPr>
          <w:sz w:val="36"/>
          <w:sz w:val="36"/>
          <w:rtl w:val="true"/>
        </w:rPr>
        <w:t>למזכירות</w:t>
      </w:r>
      <w:r>
        <w:rPr>
          <w:sz w:val="36"/>
          <w:rtl w:val="true"/>
        </w:rPr>
        <w:t xml:space="preserve">: </w:t>
      </w:r>
      <w:r>
        <w:rPr>
          <w:sz w:val="36"/>
          <w:sz w:val="36"/>
          <w:rtl w:val="true"/>
        </w:rPr>
        <w:t>נא לשלוח את העתק גזר הדין לשירות המבחן</w:t>
      </w:r>
      <w:r>
        <w:rPr>
          <w:sz w:val="36"/>
          <w:rtl w:val="true"/>
        </w:rPr>
        <w:t>.</w:t>
      </w:r>
    </w:p>
    <w:p>
      <w:pPr>
        <w:pStyle w:val="David"/>
        <w:ind w:end="0"/>
        <w:jc w:val="both"/>
        <w:rPr>
          <w:sz w:val="36"/>
        </w:rPr>
      </w:pPr>
      <w:r>
        <w:rPr>
          <w:sz w:val="3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הסניגור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אבקש לעכב את ביצוע המאסר עד ה</w:t>
      </w:r>
      <w:r>
        <w:rPr>
          <w:rtl w:val="true"/>
        </w:rPr>
        <w:t xml:space="preserve">- </w:t>
      </w:r>
      <w:r>
        <w:rPr/>
        <w:t>1/12/09</w:t>
      </w:r>
      <w:r>
        <w:rPr>
          <w:rtl w:val="true"/>
        </w:rPr>
        <w:t xml:space="preserve"> </w:t>
      </w:r>
      <w:r>
        <w:rPr>
          <w:rtl w:val="true"/>
        </w:rPr>
        <w:t>כדי לאפשר לנאשם לחגוג את חג הקורבן בסוף חודש נובמבר ולהתכונן לתחילת ריצוי מאסרו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מתנגדת לעיכוב ביצוע המאסר</w:t>
      </w:r>
      <w:r>
        <w:rPr>
          <w:rtl w:val="true"/>
        </w:rPr>
        <w:t xml:space="preserve">. </w:t>
      </w:r>
      <w:r>
        <w:rPr>
          <w:rtl w:val="true"/>
        </w:rPr>
        <w:t>אין זו עילה בשביל לעכב את 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מדובר בגזר דין של מאסר למס</w:t>
      </w:r>
      <w:r>
        <w:rPr>
          <w:rtl w:val="true"/>
        </w:rPr>
        <w:t xml:space="preserve">'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אין מדובר בדחיה של מס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שאולי היה מקום להעתר לה כדי לאפשר לנאשם להתארגן</w:t>
      </w:r>
      <w:r>
        <w:rPr>
          <w:rtl w:val="true"/>
        </w:rPr>
        <w:t xml:space="preserve">. </w:t>
      </w:r>
      <w:r>
        <w:rPr>
          <w:rtl w:val="true"/>
        </w:rPr>
        <w:t>אבל תקופה של מעל חודש נראית לי מוגזמת והסיבה לחגוג חגים נראית לי לא סבירה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רוצה לציין שמדובר בנאשם שלא מופיע להרבה דיונים</w:t>
      </w:r>
      <w:r>
        <w:rPr>
          <w:rtl w:val="true"/>
        </w:rPr>
        <w:t xml:space="preserve">. </w:t>
      </w:r>
      <w:r>
        <w:rPr>
          <w:rtl w:val="true"/>
        </w:rPr>
        <w:t>הוצאו נגדו צווי הבאה ולטעמי קיים חשש שאם ביהמ</w:t>
      </w:r>
      <w:r>
        <w:rPr>
          <w:rtl w:val="true"/>
        </w:rPr>
        <w:t>"</w:t>
      </w:r>
      <w:r>
        <w:rPr>
          <w:rtl w:val="true"/>
        </w:rPr>
        <w:t>ש ידחה את ריצוי העונש הוא לא יתייצב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בכפוף לכך שהנאשם יפקיד סך של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במזומן </w:t>
      </w:r>
      <w:r>
        <w:rPr>
          <w:rtl w:val="true"/>
        </w:rPr>
        <w:t xml:space="preserve">+ </w:t>
      </w:r>
      <w:r>
        <w:rPr>
          <w:rtl w:val="true"/>
        </w:rPr>
        <w:t>התחייבות עצמית וערבות צד ג</w:t>
      </w:r>
      <w:r>
        <w:rPr>
          <w:rtl w:val="true"/>
        </w:rPr>
        <w:t xml:space="preserve">' </w:t>
      </w:r>
      <w:r>
        <w:rPr>
          <w:rtl w:val="true"/>
        </w:rPr>
        <w:t xml:space="preserve">על סך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כל אחת</w:t>
      </w:r>
      <w:r>
        <w:rPr>
          <w:rtl w:val="true"/>
        </w:rPr>
        <w:t xml:space="preserve">, </w:t>
      </w:r>
      <w:r>
        <w:rPr>
          <w:rtl w:val="true"/>
        </w:rPr>
        <w:t>להבטחת התייצבותו לריצוי עונש המאסר</w:t>
      </w:r>
      <w:r>
        <w:rPr>
          <w:rtl w:val="true"/>
        </w:rPr>
        <w:t xml:space="preserve">, </w:t>
      </w:r>
      <w:r>
        <w:rPr>
          <w:rtl w:val="true"/>
        </w:rPr>
        <w:t xml:space="preserve">אני מורה כי האשם יתחיל לרצות את עונש המאסר החל מיום </w:t>
      </w:r>
      <w:r>
        <w:rPr/>
        <w:t>1/12/09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יש להפקיד את המזומן </w:t>
      </w:r>
      <w:r>
        <w:rPr>
          <w:rtl w:val="true"/>
        </w:rPr>
        <w:t xml:space="preserve">+ </w:t>
      </w:r>
      <w:r>
        <w:rPr>
          <w:rtl w:val="true"/>
        </w:rPr>
        <w:t>ההתחייבות העצמית והערבות  עד יום ראשון</w:t>
      </w:r>
      <w:r>
        <w:rPr>
          <w:rtl w:val="true"/>
        </w:rPr>
        <w:t xml:space="preserve">, </w:t>
      </w:r>
      <w:r>
        <w:rPr/>
        <w:t>1/11/09</w:t>
      </w:r>
      <w:r>
        <w:rPr>
          <w:rtl w:val="true"/>
        </w:rPr>
        <w:t xml:space="preserve">, </w:t>
      </w:r>
      <w:r>
        <w:rPr>
          <w:rtl w:val="true"/>
        </w:rPr>
        <w:t xml:space="preserve">שעה </w:t>
      </w:r>
      <w:r>
        <w:rPr/>
        <w:t>14.00</w:t>
      </w:r>
      <w:r>
        <w:rPr>
          <w:rtl w:val="true"/>
        </w:rPr>
        <w:t xml:space="preserve">, </w:t>
      </w:r>
      <w:r>
        <w:rPr>
          <w:rtl w:val="true"/>
        </w:rPr>
        <w:t>שאם לא כן</w:t>
      </w:r>
      <w:r>
        <w:rPr>
          <w:rtl w:val="true"/>
        </w:rPr>
        <w:t xml:space="preserve">, </w:t>
      </w:r>
      <w:r>
        <w:rPr>
          <w:rtl w:val="true"/>
        </w:rPr>
        <w:t>יתחיל לרצות את עונש המאסר ב</w:t>
      </w:r>
      <w:r>
        <w:rPr>
          <w:rtl w:val="true"/>
        </w:rPr>
        <w:t xml:space="preserve">- </w:t>
      </w:r>
      <w:r>
        <w:rPr/>
        <w:t>2/11/09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יתייצב בבית מעצר קישון ביום </w:t>
      </w:r>
      <w:r>
        <w:rPr/>
        <w:t>1/12/09</w:t>
      </w:r>
      <w:r>
        <w:rPr>
          <w:rtl w:val="true"/>
        </w:rPr>
        <w:t xml:space="preserve">, </w:t>
      </w:r>
      <w:r>
        <w:rPr>
          <w:rtl w:val="true"/>
        </w:rPr>
        <w:t xml:space="preserve">שעה </w:t>
      </w:r>
      <w:r>
        <w:rPr/>
        <w:t>09.00</w:t>
      </w:r>
      <w:r>
        <w:rPr>
          <w:rtl w:val="true"/>
        </w:rPr>
        <w:t xml:space="preserve">, </w:t>
      </w:r>
      <w:r>
        <w:rPr>
          <w:rtl w:val="true"/>
        </w:rPr>
        <w:t>לתחילת ריצוי עונש המאסר</w:t>
      </w:r>
      <w:r>
        <w:rPr>
          <w:rtl w:val="true"/>
        </w:rPr>
        <w:t xml:space="preserve">. </w:t>
      </w:r>
      <w:r>
        <w:rPr>
          <w:rtl w:val="true"/>
        </w:rPr>
        <w:t>בהעדר הפקדת הבטחונות כאמור</w:t>
      </w:r>
      <w:r>
        <w:rPr>
          <w:rtl w:val="true"/>
        </w:rPr>
        <w:t xml:space="preserve">, </w:t>
      </w:r>
      <w:r>
        <w:rPr>
          <w:rtl w:val="true"/>
        </w:rPr>
        <w:t xml:space="preserve">יתייצב בבית מעצר קישון ביום </w:t>
      </w:r>
      <w:r>
        <w:rPr/>
        <w:t>2/11/09</w:t>
      </w:r>
      <w:r>
        <w:rPr>
          <w:rtl w:val="true"/>
        </w:rPr>
        <w:t xml:space="preserve">, </w:t>
      </w:r>
      <w:r>
        <w:rPr>
          <w:rtl w:val="true"/>
        </w:rPr>
        <w:t xml:space="preserve">שעה </w:t>
      </w:r>
      <w:r>
        <w:rPr/>
        <w:t>09.00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חשון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29/10/2009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משה אלטר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משה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אלטר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רונית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דיגורקר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/Users/liorb/Downloads/study2025-p2/SH-07-1572-325.doc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עכו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1572-07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לשכת תביעות גליל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משטרת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בילאל סנעאללה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" TargetMode="External"/><Relationship Id="rId4" Type="http://schemas.openxmlformats.org/officeDocument/2006/relationships/hyperlink" Target="http://www.nevo.co.il/law/70301/4" TargetMode="External"/><Relationship Id="rId5" Type="http://schemas.openxmlformats.org/officeDocument/2006/relationships/hyperlink" Target="http://www.nevo.co.il/law/70301/5S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06.b." TargetMode="External"/><Relationship Id="rId9" Type="http://schemas.openxmlformats.org/officeDocument/2006/relationships/hyperlink" Target="http://www.nevo.co.il/law/70301/jaC1" TargetMode="External"/><Relationship Id="rId10" Type="http://schemas.openxmlformats.org/officeDocument/2006/relationships/hyperlink" Target="http://www.nevo.co.il/law/70301/406.b.;2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6.b.;2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06.b.;38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6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jaC1;3;4;5S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2016-08-10T12:48:00Z</dcterms:created>
  <dc:creator>Shahar Goldstein</dc:creator>
  <dc:description/>
  <cp:keywords/>
  <dc:language>en-IL</dc:language>
  <cp:lastModifiedBy>hofit</cp:lastModifiedBy>
  <dcterms:modified xsi:type="dcterms:W3CDTF">2016-08-10T12:48:00Z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לשכת תביעות גליל-משטרת ישראל</vt:lpwstr>
  </property>
  <property fmtid="{D5CDD505-2E9C-101B-9397-08002B2CF9AE}" pid="3" name="APPELLEE">
    <vt:lpwstr>בילאל סנעאללה</vt:lpwstr>
  </property>
  <property fmtid="{D5CDD505-2E9C-101B-9397-08002B2CF9AE}" pid="4" name="CASENOTES1">
    <vt:lpwstr>ProcID=154&amp;PartA=14529&amp;PartC=06</vt:lpwstr>
  </property>
  <property fmtid="{D5CDD505-2E9C-101B-9397-08002B2CF9AE}" pid="5" name="CASENOTES2">
    <vt:lpwstr>ProcID=154;184&amp;PartA=14778&amp;PartC=06</vt:lpwstr>
  </property>
  <property fmtid="{D5CDD505-2E9C-101B-9397-08002B2CF9AE}" pid="6" name="CASESLISTTMP1">
    <vt:lpwstr>6238825;1231948</vt:lpwstr>
  </property>
  <property fmtid="{D5CDD505-2E9C-101B-9397-08002B2CF9AE}" pid="7" name="CITY">
    <vt:lpwstr>עכו</vt:lpwstr>
  </property>
  <property fmtid="{D5CDD505-2E9C-101B-9397-08002B2CF9AE}" pid="8" name="DATE">
    <vt:lpwstr>20091029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משה אלטר</vt:lpwstr>
  </property>
  <property fmtid="{D5CDD505-2E9C-101B-9397-08002B2CF9AE}" pid="12" name="LAWLISTTMP1">
    <vt:lpwstr>70301/406.b:4;025:2;384;jaC1;003;004;005S</vt:lpwstr>
  </property>
  <property fmtid="{D5CDD505-2E9C-101B-9397-08002B2CF9AE}" pid="13" name="LAWYER">
    <vt:lpwstr>ליאת מנדל – גור</vt:lpwstr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1572</vt:lpwstr>
  </property>
  <property fmtid="{D5CDD505-2E9C-101B-9397-08002B2CF9AE}" pid="27" name="NEWPARTB">
    <vt:lpwstr/>
  </property>
  <property fmtid="{D5CDD505-2E9C-101B-9397-08002B2CF9AE}" pid="28" name="NEWPARTC">
    <vt:lpwstr>07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>1572</vt:lpwstr>
  </property>
  <property fmtid="{D5CDD505-2E9C-101B-9397-08002B2CF9AE}" pid="35" name="PROCYEAR">
    <vt:lpwstr>07</vt:lpwstr>
  </property>
  <property fmtid="{D5CDD505-2E9C-101B-9397-08002B2CF9AE}" pid="36" name="PSAKDIN">
    <vt:lpwstr>גזר-דין</vt:lpwstr>
  </property>
  <property fmtid="{D5CDD505-2E9C-101B-9397-08002B2CF9AE}" pid="37" name="RemarkFileName">
    <vt:lpwstr>shalom sh 07 1572 325 htm</vt:lpwstr>
  </property>
  <property fmtid="{D5CDD505-2E9C-101B-9397-08002B2CF9AE}" pid="38" name="TYPE">
    <vt:lpwstr>3</vt:lpwstr>
  </property>
  <property fmtid="{D5CDD505-2E9C-101B-9397-08002B2CF9AE}" pid="39" name="TYPE_ABS_DATE">
    <vt:lpwstr>380020091029</vt:lpwstr>
  </property>
  <property fmtid="{D5CDD505-2E9C-101B-9397-08002B2CF9AE}" pid="40" name="TYPE_N_DATE">
    <vt:lpwstr>38020091029</vt:lpwstr>
  </property>
  <property fmtid="{D5CDD505-2E9C-101B-9397-08002B2CF9AE}" pid="41" name="VOLUME">
    <vt:lpwstr/>
  </property>
  <property fmtid="{D5CDD505-2E9C-101B-9397-08002B2CF9AE}" pid="42" name="WORDNUMPAGES">
    <vt:lpwstr>5</vt:lpwstr>
  </property>
</Properties>
</file>