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7"/>
        <w:gridCol w:w="623"/>
        <w:gridCol w:w="71"/>
        <w:gridCol w:w="2329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15749-01-09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כליבאת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2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פאיז כליבאת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עזריה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קליין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#3#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4" w:name="PsakDin"/>
      <w:bookmarkEnd w:id="4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b w:val="false"/>
          <w:bCs w:val="false"/>
          <w:sz w:val="28"/>
          <w:szCs w:val="28"/>
          <w:u w:val="none"/>
        </w:rPr>
      </w:pPr>
      <w:r>
        <w:rPr>
          <w:rFonts w:eastAsia="David" w:cs="David" w:ascii="David" w:hAnsi="David"/>
          <w:b w:val="false"/>
          <w:bCs w:val="false"/>
          <w:sz w:val="28"/>
          <w:szCs w:val="28"/>
          <w:u w:val="non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hanging="720" w:start="720" w:end="0"/>
        <w:jc w:val="start"/>
        <w:rPr>
          <w:rFonts w:ascii="Times New Roman;Arial Narrow" w:hAnsi="Times New Roman;Arial Narrow" w:cs="Times New Roman;Arial Narrow"/>
        </w:rPr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הנאשם הואשם בעבירות של החזקת נשק שלא כדין והחזקת תחמושת שלא כדין – עבירות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י כתב האישום בחיפוש שנערך בביתו של הנאשם בתאריך </w:t>
      </w:r>
      <w:r>
        <w:rPr/>
        <w:t>21/1/09</w:t>
      </w:r>
      <w:r>
        <w:rPr>
          <w:rtl w:val="true"/>
        </w:rPr>
        <w:t xml:space="preserve"> </w:t>
      </w:r>
      <w:r>
        <w:rPr>
          <w:rtl w:val="true"/>
        </w:rPr>
        <w:t>נמצא שהוא מחזיק בנשק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אקדח מסוג תופי עטוף בבד לבן טעון 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 המתאימים לאקדח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אקדח מסוג סמיט אנד וטסון שבתוכו 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תת מקלע שחור מסוג סטרלינג בתוך שקית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שקית שהכילה מחסנית התואמת לתת המקלע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שקיות שהכילו כדורים לאקדח</w:t>
      </w:r>
      <w:r>
        <w:rPr>
          <w:rtl w:val="true"/>
        </w:rPr>
        <w:t xml:space="preserve">, </w:t>
      </w:r>
      <w:r>
        <w:rPr>
          <w:rtl w:val="true"/>
        </w:rPr>
        <w:t xml:space="preserve">שתי חבילות של כדורים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מילמטר וקופסה </w:t>
      </w:r>
    </w:p>
    <w:p>
      <w:pPr>
        <w:pStyle w:val="Normal"/>
        <w:spacing w:lineRule="auto" w:line="360"/>
        <w:ind w:firstLine="720" w:start="720" w:end="0"/>
        <w:jc w:val="start"/>
        <w:rPr/>
      </w:pPr>
      <w:r>
        <w:rPr>
          <w:rtl w:val="true"/>
        </w:rPr>
        <w:t>נוספת ובה שני סוגים של כדורים לאקדח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קופסאות לבנות בתוכן כדורים לנשק </w:t>
      </w:r>
    </w:p>
    <w:p>
      <w:pPr>
        <w:pStyle w:val="Normal"/>
        <w:spacing w:lineRule="auto" w:line="360"/>
        <w:ind w:firstLine="720" w:start="720" w:end="0"/>
        <w:jc w:val="start"/>
        <w:rPr/>
      </w:pPr>
      <w:r>
        <w:rPr>
          <w:rtl w:val="true"/>
        </w:rPr>
        <w:t>וכדורים בתפזורת</w:t>
      </w:r>
      <w:r>
        <w:rPr>
          <w:rtl w:val="true"/>
        </w:rPr>
        <w:t xml:space="preserve">, </w:t>
      </w:r>
      <w:r>
        <w:rPr>
          <w:rtl w:val="true"/>
        </w:rPr>
        <w:t xml:space="preserve">קופסה חומה שהכילה כדורים רבים לנשק בתפזורת ושתי </w:t>
      </w:r>
    </w:p>
    <w:p>
      <w:pPr>
        <w:pStyle w:val="Normal"/>
        <w:spacing w:lineRule="auto" w:line="360"/>
        <w:ind w:firstLine="720" w:start="720" w:end="0"/>
        <w:jc w:val="start"/>
        <w:rPr/>
      </w:pPr>
      <w:r>
        <w:rPr>
          <w:rtl w:val="true"/>
        </w:rPr>
        <w:t>מחסניות לנשק 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כתב האישום החזיק הנאשם בסה</w:t>
      </w:r>
      <w:r>
        <w:rPr>
          <w:rtl w:val="true"/>
        </w:rPr>
        <w:t>"</w:t>
      </w:r>
      <w:r>
        <w:rPr>
          <w:rtl w:val="true"/>
        </w:rPr>
        <w:t xml:space="preserve">כ מעל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של </w:t>
      </w:r>
      <w:r>
        <w:rPr/>
        <w:t>0.9</w:t>
      </w:r>
      <w:r>
        <w:rPr>
          <w:rtl w:val="true"/>
        </w:rPr>
        <w:t xml:space="preserve"> </w:t>
      </w:r>
      <w:r>
        <w:rPr>
          <w:rtl w:val="true"/>
        </w:rPr>
        <w:t>מילמטר</w:t>
      </w:r>
      <w:r>
        <w:rPr>
          <w:rtl w:val="true"/>
        </w:rPr>
        <w:t xml:space="preserve">,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מילמטר ו</w:t>
      </w:r>
      <w:r>
        <w:rPr>
          <w:rtl w:val="true"/>
        </w:rPr>
        <w:t xml:space="preserve">- </w:t>
      </w:r>
      <w:r>
        <w:rPr/>
        <w:t>0.45</w:t>
      </w:r>
      <w:r>
        <w:rPr>
          <w:rtl w:val="true"/>
        </w:rPr>
        <w:t xml:space="preserve"> </w:t>
      </w:r>
      <w:r>
        <w:rPr>
          <w:rtl w:val="true"/>
        </w:rPr>
        <w:t>מילמטר המתאימים לאקדחים ולתת המקלע שנתפסו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בכתב האישום מצוין</w:t>
      </w:r>
      <w:r>
        <w:rPr>
          <w:rtl w:val="true"/>
        </w:rPr>
        <w:t xml:space="preserve">, </w:t>
      </w:r>
      <w:r>
        <w:rPr>
          <w:rtl w:val="true"/>
        </w:rPr>
        <w:t>כי כלי הנשק והתחמושת נמצאו בארון בסלון הדירה</w:t>
      </w:r>
      <w:r>
        <w:rPr>
          <w:rtl w:val="true"/>
        </w:rPr>
        <w:t xml:space="preserve">, </w:t>
      </w:r>
      <w:r>
        <w:rPr>
          <w:rtl w:val="true"/>
        </w:rPr>
        <w:t>בהנמכת תקרה בדירה ובארון הנעליים בכניסה 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כן מצוין בכתב האישום כי האקדח מסוג סמיט אנד וטסון נגנב מכספת בהתפרצות לדירה בתאריך </w:t>
      </w:r>
      <w:r>
        <w:rPr/>
        <w:t>18/12/07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הנאשם הודה בהזדמנות הראשונה במסגרת הסדר טיעון עליו הודיעו הצדדים בתאריך </w:t>
      </w:r>
    </w:p>
    <w:p>
      <w:pPr>
        <w:pStyle w:val="Normal"/>
        <w:spacing w:lineRule="auto" w:line="360"/>
        <w:ind w:firstLine="720" w:end="0"/>
        <w:jc w:val="start"/>
        <w:rPr/>
      </w:pPr>
      <w:r>
        <w:rPr/>
        <w:t>27/1/09</w:t>
      </w:r>
      <w:r>
        <w:rPr>
          <w:rtl w:val="true"/>
        </w:rPr>
        <w:t xml:space="preserve">. </w:t>
      </w:r>
      <w:r>
        <w:rPr>
          <w:rtl w:val="true"/>
        </w:rPr>
        <w:t xml:space="preserve">כחלק מההסדר סוכם כי בטרם הטיעונים לעונש יופנה הנאשם לשירות המבחן על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מנת שיתקבל תסקיר בעניינו והצדדים יטענו לעונש באופן חופשי</w:t>
      </w:r>
      <w:r>
        <w:rPr>
          <w:rtl w:val="true"/>
        </w:rPr>
        <w:t xml:space="preserve">. </w:t>
      </w:r>
      <w:r>
        <w:rPr>
          <w:rtl w:val="true"/>
        </w:rPr>
        <w:t>עד קבלת התסקיר</w:t>
      </w:r>
      <w:r>
        <w:rPr>
          <w:rtl w:val="true"/>
        </w:rPr>
        <w:t xml:space="preserve">, </w:t>
      </w:r>
      <w:r>
        <w:rPr>
          <w:rtl w:val="true"/>
        </w:rPr>
        <w:t xml:space="preserve">כך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סוכם ישוחרר הנאשם למעצר בית ולא ייעצר עד תום ההליכים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בתאריך </w:t>
      </w:r>
      <w:r>
        <w:rPr/>
        <w:t>27/4/09</w:t>
      </w:r>
      <w:r>
        <w:rPr>
          <w:rtl w:val="true"/>
        </w:rPr>
        <w:t xml:space="preserve"> </w:t>
      </w:r>
      <w:r>
        <w:rPr>
          <w:rtl w:val="true"/>
        </w:rPr>
        <w:t>התקבל תסקיר שירות המבחן בעניינו של הנאשם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מקבל אחריות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אישר כי החזיק את הנשק בביתו אך טען כי מצא אותו ביער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וחשש שילדים יראו אותו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י התרשמות קצינת המבחן עמדת הנאשם מקשה להבין את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מניעיו ואת נסיבות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הנאשם הביע חרטה על הסתבכותו וחושש מפני תוצאות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ההליך המשפטי במיוחד על המשך טיפולי הפוריות שעובר עם אשתו</w:t>
      </w:r>
      <w:r>
        <w:rPr>
          <w:rtl w:val="true"/>
        </w:rPr>
        <w:t xml:space="preserve">. </w:t>
      </w:r>
      <w:r>
        <w:rPr>
          <w:rtl w:val="true"/>
        </w:rPr>
        <w:t xml:space="preserve">אין לחובת הנאשם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הרשעות קודמות וחווית המעצר חידדה עבורו את כשלונו ההתנהגותי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נמנע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מהמלצה טיפולית</w:t>
      </w:r>
      <w:r>
        <w:rPr>
          <w:rtl w:val="true"/>
        </w:rPr>
        <w:t xml:space="preserve">, </w:t>
      </w:r>
      <w:r>
        <w:rPr>
          <w:rtl w:val="true"/>
        </w:rPr>
        <w:t>באשר הנאשם לא הביע נזקקות לטיפול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ביקשה לגזור על הנאשם מאסר בפועל לתקופה ממושכת ומאסר מותנה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 xml:space="preserve">כאשר הצביעה במיוחד על הכמות הניכרת של כלי הנשק והתחמושת אשר נמצאו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בחזקת הנאשם</w:t>
      </w:r>
      <w:r>
        <w:rPr>
          <w:rtl w:val="true"/>
        </w:rPr>
        <w:t xml:space="preserve">. </w:t>
      </w:r>
      <w:r>
        <w:rPr>
          <w:rtl w:val="true"/>
        </w:rPr>
        <w:t>לתמיכה בטיענותיה הגישה 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לגזור על הנאשם מאסר מותנה תוך שהפנה אף הוא לפסיקה מטעמו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מצא את האמל</w:t>
      </w:r>
      <w:r>
        <w:rPr>
          <w:rtl w:val="true"/>
        </w:rPr>
        <w:t>"</w:t>
      </w:r>
      <w:r>
        <w:rPr>
          <w:rtl w:val="true"/>
        </w:rPr>
        <w:t>ח כאשר יצא לריצה בחורשה ליד כפרו</w:t>
      </w:r>
      <w:r>
        <w:rPr>
          <w:rtl w:val="true"/>
        </w:rPr>
        <w:t xml:space="preserve">. </w:t>
      </w:r>
      <w:r>
        <w:rPr>
          <w:rtl w:val="true"/>
        </w:rPr>
        <w:t xml:space="preserve">כפי שמצאו –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הביאו לביתו והיה בכוונתו למסור את האמל</w:t>
      </w:r>
      <w:r>
        <w:rPr>
          <w:rtl w:val="true"/>
        </w:rPr>
        <w:t>"</w:t>
      </w:r>
      <w:r>
        <w:rPr>
          <w:rtl w:val="true"/>
        </w:rPr>
        <w:t>ח למשטרה</w:t>
      </w:r>
      <w:r>
        <w:rPr>
          <w:rtl w:val="true"/>
        </w:rPr>
        <w:t xml:space="preserve">. </w:t>
      </w:r>
      <w:r>
        <w:rPr>
          <w:rtl w:val="true"/>
        </w:rPr>
        <w:t>לדברי הסניגור האמל</w:t>
      </w:r>
      <w:r>
        <w:rPr>
          <w:rtl w:val="true"/>
        </w:rPr>
        <w:t>"</w:t>
      </w:r>
      <w:r>
        <w:rPr>
          <w:rtl w:val="true"/>
        </w:rPr>
        <w:t xml:space="preserve">ח נמצא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ברשות הנאשם כשבועיים עובר למציאתו והנאשם התמהמה בדיווח למשטרה כי חשש פן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לא יאמינו לו</w:t>
      </w:r>
      <w:r>
        <w:rPr>
          <w:rtl w:val="true"/>
        </w:rPr>
        <w:t xml:space="preserve">. </w:t>
      </w:r>
      <w:r>
        <w:rPr>
          <w:rtl w:val="true"/>
        </w:rPr>
        <w:t>לגרסת ב</w:t>
      </w:r>
      <w:r>
        <w:rPr>
          <w:rtl w:val="true"/>
        </w:rPr>
        <w:t>"</w:t>
      </w:r>
      <w:r>
        <w:rPr>
          <w:rtl w:val="true"/>
        </w:rPr>
        <w:t xml:space="preserve">כ הנאשם נסיבות החיפוש ותפיסת הנשק מצביעות על כך כי לנאשם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לא היתה כוונה לעשות שימוש לא חוקי בנשק או להעבירו לגורמים עבריינים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בהתנהגות נאיבית ואף טפשית</w:t>
      </w:r>
      <w:r>
        <w:rPr>
          <w:rtl w:val="true"/>
        </w:rPr>
        <w:t xml:space="preserve">. </w:t>
      </w:r>
      <w:r>
        <w:rPr>
          <w:rtl w:val="true"/>
        </w:rPr>
        <w:t xml:space="preserve">העובדה כי המאשימה הסכימה לשחרר את הנאשם לחלופת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מעצר מצביעה על כך כי היא עצמה אינה רואה את המסוכנות הרבה 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הנאשם כבן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ללא כל עבר פלילי</w:t>
      </w:r>
      <w:r>
        <w:rPr>
          <w:rtl w:val="true"/>
        </w:rPr>
        <w:t xml:space="preserve">, </w:t>
      </w:r>
      <w:r>
        <w:rPr>
          <w:rtl w:val="true"/>
        </w:rPr>
        <w:t>עובד לפרנסתו</w:t>
      </w:r>
      <w:r>
        <w:rPr>
          <w:rtl w:val="true"/>
        </w:rPr>
        <w:t xml:space="preserve">, </w:t>
      </w:r>
      <w:r>
        <w:rPr>
          <w:rtl w:val="true"/>
        </w:rPr>
        <w:t xml:space="preserve">נשוי וזה לו מפגשו הראשון עם רשויות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אכיפת החוק</w:t>
      </w:r>
      <w:r>
        <w:rPr>
          <w:rtl w:val="true"/>
        </w:rPr>
        <w:t xml:space="preserve">. </w:t>
      </w:r>
      <w:r>
        <w:rPr>
          <w:rtl w:val="true"/>
        </w:rPr>
        <w:t xml:space="preserve">הנאשם פוטר מעבודתו כתוצאה מהסתבכותו ובכך נפגעה יכולתו לפרנס את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 xml:space="preserve">מדובר בנסיבות המצויות במדרג הנמוך ועל כן אין מקום למצות את הדין עם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לאחר שעיינתי בפסיקה אשר הוצגה</w:t>
      </w:r>
      <w:r>
        <w:rPr>
          <w:rtl w:val="true"/>
        </w:rPr>
        <w:t xml:space="preserve">, </w:t>
      </w:r>
      <w:r>
        <w:rPr>
          <w:rtl w:val="true"/>
        </w:rPr>
        <w:t xml:space="preserve">בתסקיר שירות המבחן ובטיעוני הצדדים </w:t>
      </w:r>
      <w:r>
        <w:rPr>
          <w:rtl w:val="true"/>
        </w:rPr>
        <w:t>,</w:t>
      </w:r>
      <w:r>
        <w:rPr>
          <w:rtl w:val="true"/>
        </w:rPr>
        <w:t xml:space="preserve">אני סבורה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כי אין באפשרותי להתעלם מהכמות של אמצעי הלחימה שנתפסו בחזקת הנאשם</w:t>
      </w:r>
      <w:r>
        <w:rPr>
          <w:rtl w:val="true"/>
        </w:rPr>
        <w:t xml:space="preserve">. </w:t>
      </w:r>
      <w:r>
        <w:rPr>
          <w:rtl w:val="true"/>
        </w:rPr>
        <w:t xml:space="preserve">מדובר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אכן בכמות ניכרת הן של כלי נשק – שני אקדחים ותת מקלע והן של תחמושת – מעל </w:t>
      </w:r>
      <w:r>
        <w:rPr/>
        <w:t>200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כדורים בקטרים שונים</w:t>
      </w:r>
      <w:r>
        <w:rPr>
          <w:rtl w:val="true"/>
        </w:rPr>
        <w:t xml:space="preserve">. </w:t>
      </w:r>
      <w:r>
        <w:rPr>
          <w:rtl w:val="true"/>
        </w:rPr>
        <w:t xml:space="preserve">גם אם הנאשם רק מצא את אמצעי הלחימה שבועיים עובר למועד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בו נתפסו בחזקתו</w:t>
      </w:r>
      <w:r>
        <w:rPr>
          <w:rtl w:val="true"/>
        </w:rPr>
        <w:t xml:space="preserve">, </w:t>
      </w:r>
      <w:r>
        <w:rPr>
          <w:rtl w:val="true"/>
        </w:rPr>
        <w:t xml:space="preserve">הרי הסברו כפי שבא לידי ביטוי בהודעה שמסר בתאריך </w:t>
      </w:r>
      <w:r>
        <w:rPr/>
        <w:t>21/1/09</w:t>
      </w:r>
      <w:r>
        <w:rPr>
          <w:rtl w:val="true"/>
        </w:rPr>
        <w:t xml:space="preserve">, </w:t>
      </w:r>
      <w:r>
        <w:rPr>
          <w:rtl w:val="true"/>
        </w:rPr>
        <w:t xml:space="preserve">מדוע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לא מסר אותם למשטרה אינו הסבר מתקבל על הדעת</w:t>
      </w:r>
      <w:r>
        <w:rPr>
          <w:rtl w:val="true"/>
        </w:rPr>
        <w:t xml:space="preserve">. </w:t>
      </w:r>
      <w:r>
        <w:rPr>
          <w:rtl w:val="true"/>
        </w:rPr>
        <w:t>לדבריו רצה למסור את אמצעי הלחימה למשטרה אך רצה להתייעץ עם מישהו שמבין בזה ומכיוון שעבד כל הזמן במשמרות</w:t>
      </w:r>
      <w:r>
        <w:rPr>
          <w:rtl w:val="true"/>
        </w:rPr>
        <w:t xml:space="preserve">, </w:t>
      </w:r>
      <w:r>
        <w:rPr>
          <w:rtl w:val="true"/>
        </w:rPr>
        <w:t xml:space="preserve">לא יצא לו לפגוש מישהו שמקורב למשטרה </w:t>
      </w:r>
      <w:r>
        <w:rPr>
          <w:rtl w:val="true"/>
        </w:rPr>
        <w:t>(</w:t>
      </w:r>
      <w:r>
        <w:rPr>
          <w:rtl w:val="true"/>
        </w:rPr>
        <w:t xml:space="preserve">שורות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להודעה שהוצגה באמצעות הסניגור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הכלל הוא כי בעבירות של החזקת נשק יש להחמיר שכן מדובר בעבירה חמורה בשל הסיכון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הפוטנציאלי הגלום בה</w:t>
      </w:r>
      <w:r>
        <w:rPr>
          <w:rtl w:val="true"/>
        </w:rPr>
        <w:t xml:space="preserve">. </w:t>
      </w:r>
      <w:r>
        <w:rPr>
          <w:rtl w:val="true"/>
        </w:rPr>
        <w:t xml:space="preserve">החזקת נשק מסכנת  את החברה ואת הסובבים את המחזיק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ומצדיקה השתת מאסר בפועל גם על מי שזו לו הרשעה ראשונה</w:t>
      </w:r>
      <w:r>
        <w:rPr>
          <w:rtl w:val="true"/>
        </w:rPr>
        <w:t xml:space="preserve">. </w:t>
      </w:r>
      <w:r>
        <w:rPr>
          <w:rtl w:val="true"/>
        </w:rPr>
        <w:t xml:space="preserve">יש מקום ליתן משקל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לאינטרס הציבורי ולצורך להרתיע עבריינים ולהעדיפם על פני נסיבותיו האישיות של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 xml:space="preserve">כאשר עסקינן בכמות כה רבה של אמצעי לחימה אשר סכנתה הפוטנציאלית רבה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כפל כפליים קיימת הצדקה להטיל מאסר גם אם כאמור מדובר במי שאין לחובתו הרשעות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לא מצאתי מקום לחרוג מכלל זה בנסיבות העניין</w:t>
      </w:r>
      <w:r>
        <w:rPr>
          <w:rtl w:val="true"/>
        </w:rPr>
        <w:t xml:space="preserve">. </w:t>
      </w:r>
      <w:r>
        <w:rPr>
          <w:rtl w:val="true"/>
        </w:rPr>
        <w:t xml:space="preserve">הנסיבות המפורטות בתסקיר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ואשר פורטו ע</w:t>
      </w:r>
      <w:r>
        <w:rPr>
          <w:rtl w:val="true"/>
        </w:rPr>
        <w:t>"</w:t>
      </w:r>
      <w:r>
        <w:rPr>
          <w:rtl w:val="true"/>
        </w:rPr>
        <w:t>י הסניגור בטיעוניו</w:t>
      </w:r>
      <w:r>
        <w:rPr>
          <w:rtl w:val="true"/>
        </w:rPr>
        <w:t xml:space="preserve">, </w:t>
      </w:r>
      <w:r>
        <w:rPr>
          <w:rtl w:val="true"/>
        </w:rPr>
        <w:t xml:space="preserve">מצדיקות קציבת העונש אך לא המנעות מהטלת מאסר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 xml:space="preserve">הפסיקה אינה דורשת כי ייעשה שימוש בנשק וכאמור מסתפקת בעצם ההחזקה על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מנת להצדיק הטלת מאסר של ממש</w:t>
      </w:r>
      <w:r>
        <w:rPr>
          <w:rtl w:val="true"/>
        </w:rPr>
        <w:t xml:space="preserve">, </w:t>
      </w:r>
      <w:r>
        <w:rPr>
          <w:rtl w:val="true"/>
        </w:rPr>
        <w:t>לריצוי בפועל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בעניינו של הנאשם אתחשב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בנסיבותיו האישיות ולא אמצה את מלוא הדין עימו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אני דנה את הנאשם למאסר בפועל לתקופה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ממנה יקוזזו ימי המעצר בין ה</w:t>
      </w:r>
      <w:r>
        <w:rPr>
          <w:rtl w:val="true"/>
        </w:rPr>
        <w:t xml:space="preserve">- </w:t>
      </w:r>
      <w:r>
        <w:rPr/>
        <w:t>21.1.09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27.1.09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אני דנה את הנאשם למאסר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הוא כי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לא יעבור עבירה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רישא או סיפא 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לגבי המוצגים תוגש בקשה מפורטת</w:t>
      </w:r>
      <w:r>
        <w:rPr>
          <w:rtl w:val="true"/>
        </w:rPr>
        <w:t xml:space="preserve">, </w:t>
      </w:r>
      <w:r>
        <w:rPr>
          <w:rtl w:val="true"/>
        </w:rPr>
        <w:t>נפרדת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rtl w:val="true"/>
        </w:rPr>
        <w:t xml:space="preserve">הנאשם יתייצב לריצוי עונש המאסר בתאריך </w:t>
      </w:r>
      <w:r>
        <w:rPr>
          <w:b/>
          <w:bCs/>
          <w:u w:val="single"/>
        </w:rPr>
        <w:t>14.6.09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בשעה </w:t>
      </w:r>
      <w:r>
        <w:rPr>
          <w:b/>
          <w:bCs/>
          <w:u w:val="single"/>
        </w:rPr>
        <w:t>09.00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במזכירות הפלילית בבית משפט זה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להבטחת התייצבותו יוסיף הנאשם חתימה על ערבות עצמית נוספת בסך </w:t>
      </w:r>
      <w:r>
        <w:rPr/>
        <w:t>5,000</w:t>
      </w:r>
      <w:r>
        <w:rPr>
          <w:rtl w:val="true"/>
        </w:rPr>
        <w:t xml:space="preserve"> ₪. </w:t>
      </w:r>
      <w:r>
        <w:br w:type="page"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מואטי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altName w:val="Arial Narrow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;Arial Narrow" w:hAnsi="Times New Roman;Arial Narrow" w:cs="Times New Roman;Arial Narrow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;Arial Narrow" w:ascii="Times New Roman;Arial Narrow" w:hAnsi="Times New Roman;Arial Narrow"/>
        <w:color w:val="000000"/>
        <w:sz w:val="28"/>
        <w:szCs w:val="22"/>
        <w:rtl w:val="true"/>
      </w:rPr>
      <w:t>"</w:t>
    </w:r>
    <w:r>
      <w:rPr>
        <w:rFonts w:ascii="Times New Roman;Arial Narrow" w:hAnsi="Times New Roman;Arial Narrow" w:cs="Times New Roman;Arial Narrow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;Arial Narrow" w:ascii="Times New Roman;Arial Narrow" w:hAnsi="Times New Roman;Arial Narrow"/>
        <w:color w:val="000000"/>
        <w:sz w:val="28"/>
        <w:szCs w:val="22"/>
      </w:rPr>
      <w:t>nevo.co.il</w:t>
    </w:r>
    <w:r>
      <w:rPr>
        <w:rFonts w:cs="Times New Roman;Arial Narrow" w:ascii="Times New Roman;Arial Narrow" w:hAnsi="Times New Roman;Arial Narrow"/>
        <w:color w:val="000000"/>
        <w:sz w:val="28"/>
        <w:szCs w:val="22"/>
        <w:rtl w:val="true"/>
      </w:rPr>
      <w:t xml:space="preserve">   </w:t>
    </w:r>
    <w:r>
      <w:rPr>
        <w:rFonts w:ascii="Times New Roman;Arial Narrow" w:hAnsi="Times New Roman;Arial Narrow" w:cs="Times New Roman;Arial Narrow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;Arial Narrow" w:hAnsi="Times New Roman;Arial Narrow" w:cs="Times New Roman;Arial Narrow"/>
        <w:color w:val="000000"/>
        <w:sz w:val="14"/>
        <w:szCs w:val="14"/>
      </w:rPr>
    </w:pPr>
    <w:r>
      <w:rPr>
        <w:rFonts w:cs="Times New Roman;Arial Narrow" w:ascii="Times New Roman;Arial Narrow" w:hAnsi="Times New Roman;Arial Narrow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;Arial Narrow" w:ascii="Times New Roman;Arial Narrow" w:hAnsi="Times New Roman;Arial Narrow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;Arial Narrow" w:ascii="Times New Roman;Arial Narrow" w:hAnsi="Times New Roman;Arial Narrow"/>
        <w:color w:val="000000"/>
      </w:rPr>
      <w:fldChar w:fldCharType="separate"/>
    </w:r>
    <w:r>
      <w:rPr>
        <w:rtl w:val="true"/>
        <w:sz w:val="14"/>
        <w:szCs w:val="14"/>
        <w:rFonts w:cs="Times New Roman;Arial Narrow" w:ascii="Times New Roman;Arial Narrow" w:hAnsi="Times New Roman;Arial Narrow"/>
        <w:color w:val="000000"/>
      </w:rPr>
      <w:t>/Users/liorb/Downloads/study2025-p2/SH-09-01-15749-701.doc</w:t>
    </w:r>
    <w:r>
      <w:rPr>
        <w:rtl w:val="true"/>
        <w:sz w:val="14"/>
        <w:szCs w:val="14"/>
        <w:rFonts w:cs="Times New Roman;Arial Narrow" w:ascii="Times New Roman;Arial Narrow" w:hAnsi="Times New Roman;Arial Narrow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15749-01-09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פאיז כליבאת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5749-01-09"/>
    <w:docVar w:name="caseId" w:val="12136346"/>
    <w:docVar w:name="deriveClass" w:val="NGCS.Protocol.BL.Client.ProtocolBLClientCriminal"/>
    <w:docVar w:name="firstPageNumber" w:val="10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49841"/>
    <w:docVar w:name="releaseSign" w:val="0"/>
    <w:docVar w:name="sittingDateTime" w:val="02/06/2009 09:00     "/>
    <w:docVar w:name="sittingId" w:val="1556190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;Arial Narrow" w:hAnsi="Times New Roman;Arial Narrow" w:eastAsia="Times New Roman;Arial Narrow" w:cs="Times New Roman;Arial Narrow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;Arial Narrow" w:hAnsi="Times New Roman;Arial Narrow" w:eastAsia="Times New Roman;Arial Narrow" w:cs="Times New Roman;Arial Narrow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;Arial Narrow" w:hAnsi="Times New Roman;Arial Narrow" w:eastAsia="Times New Roman;Arial Narrow" w:cs="Times New Roman;Arial Narrow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2009-06-03T00:56:00Z</dcterms:created>
  <dc:creator> </dc:creator>
  <dc:description/>
  <cp:keywords/>
  <dc:language>en-IL</dc:language>
  <cp:lastModifiedBy>hofit</cp:lastModifiedBy>
  <cp:lastPrinted>2009-06-02T10:21:00Z</cp:lastPrinted>
  <dcterms:modified xsi:type="dcterms:W3CDTF">2009-06-03T08:49:00Z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פאיז כליבאת</vt:lpwstr>
  </property>
  <property fmtid="{D5CDD505-2E9C-101B-9397-08002B2CF9AE}" pid="4" name="CITY">
    <vt:lpwstr>קריות</vt:lpwstr>
  </property>
  <property fmtid="{D5CDD505-2E9C-101B-9397-08002B2CF9AE}" pid="5" name="DATE">
    <vt:lpwstr>20090602</vt:lpwstr>
  </property>
  <property fmtid="{D5CDD505-2E9C-101B-9397-08002B2CF9AE}" pid="6" name="DELEMATA">
    <vt:lpwstr/>
  </property>
  <property fmtid="{D5CDD505-2E9C-101B-9397-08002B2CF9AE}" pid="7" name="JUDGE">
    <vt:lpwstr>אורית קנטור</vt:lpwstr>
  </property>
  <property fmtid="{D5CDD505-2E9C-101B-9397-08002B2CF9AE}" pid="8" name="LAWYER">
    <vt:lpwstr>עזריה;קליין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15749</vt:lpwstr>
  </property>
  <property fmtid="{D5CDD505-2E9C-101B-9397-08002B2CF9AE}" pid="22" name="NEWPARTB">
    <vt:lpwstr>01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380020090602</vt:lpwstr>
  </property>
  <property fmtid="{D5CDD505-2E9C-101B-9397-08002B2CF9AE}" pid="34" name="TYPE_N_DATE">
    <vt:lpwstr>38020090602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