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15772-11-19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קוסאי 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רבאן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>) 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8" w:name="ABSTRACT_END"/>
      <w:bookmarkEnd w:id="8"/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כתב האישום המתוקן </w:t>
      </w:r>
      <w:r>
        <w:rPr>
          <w:rFonts w:cs="Miriam" w:ascii="Miriam" w:hAnsi="Miriam"/>
          <w:u w:val="single"/>
          <w:rtl w:val="true"/>
        </w:rPr>
        <w:t>(</w:t>
      </w:r>
      <w:r>
        <w:rPr>
          <w:rFonts w:ascii="Miriam" w:hAnsi="Miriam" w:cs="Miriam"/>
          <w:u w:val="single"/>
          <w:rtl w:val="true"/>
        </w:rPr>
        <w:t>להלן גם</w:t>
      </w:r>
      <w:r>
        <w:rPr>
          <w:rFonts w:cs="Miriam" w:ascii="Miriam" w:hAnsi="Miriam"/>
          <w:u w:val="single"/>
          <w:rtl w:val="true"/>
        </w:rPr>
        <w:t xml:space="preserve">: </w:t>
      </w:r>
      <w:r>
        <w:rPr>
          <w:rFonts w:ascii="Miriam" w:hAnsi="Miriam" w:cs="Miriam"/>
          <w:u w:val="single"/>
          <w:rtl w:val="true"/>
        </w:rPr>
        <w:t>כתב האישום</w:t>
      </w:r>
      <w:r>
        <w:rPr>
          <w:rFonts w:cs="Miriam" w:ascii="Miriam" w:hAnsi="Miriam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פארס ומשפחת דרנאן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. </w:t>
      </w:r>
      <w:r>
        <w:rPr>
          <w:rtl w:val="true"/>
        </w:rPr>
        <w:t>מועין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מועין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דיאב ומשפחת חלים 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דרנאן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17/9/19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20:29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הירי הראשון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הירי השני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מועין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18/9/19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הירי השלישי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01:40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היורים</w:t>
      </w:r>
      <w:r>
        <w:rPr>
          <w:rtl w:val="true"/>
        </w:rPr>
        <w:t xml:space="preserve">),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החצר</w:t>
      </w:r>
      <w:r>
        <w:rPr>
          <w:rtl w:val="true"/>
        </w:rPr>
        <w:t xml:space="preserve">)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הירי הרביעי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התחמושת</w:t>
      </w:r>
      <w:r>
        <w:rPr>
          <w:rtl w:val="true"/>
        </w:rPr>
        <w:t xml:space="preserve">).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, </w:t>
      </w:r>
      <w:r>
        <w:rPr>
          <w:rtl w:val="true"/>
        </w:rPr>
        <w:t>הטעין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הירי החמישי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3/9/20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לוגיסטיקה</w:t>
      </w:r>
      <w:r>
        <w:rPr>
          <w:rtl w:val="true"/>
        </w:rPr>
        <w:t xml:space="preserve">.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17/4/20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tl w:val="true"/>
        </w:rPr>
        <w:t xml:space="preserve">,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סיומו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ראיות </w:t>
      </w:r>
      <w:r>
        <w:rPr>
          <w:rFonts w:ascii="Miriam" w:hAnsi="Miriam" w:cs="Miriam"/>
          <w:u w:val="single"/>
          <w:rtl w:val="true"/>
        </w:rPr>
        <w:t>לעונש ו</w:t>
      </w:r>
      <w:r>
        <w:rPr>
          <w:rFonts w:ascii="Miriam" w:hAnsi="Miriam" w:cs="Miriam"/>
          <w:u w:val="single"/>
          <w:rtl w:val="true"/>
        </w:rPr>
        <w:t>טיעוני הצדדים</w:t>
      </w:r>
      <w:r>
        <w:rPr>
          <w:rFonts w:ascii="Miriam" w:hAnsi="Miriam" w:cs="Miriam"/>
          <w:u w:val="single"/>
          <w:rtl w:val="true"/>
        </w:rPr>
        <w:t xml:space="preserve"> לעונש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ראיותיה לעונש הגישה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דיסק  ובו שני סרטונים המתעדים  את הירי החמישי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טיעוניה לעונש בכתב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והוסיפה והדגישה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 את עיקרי הדברים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ציינה בטיעוניה את עובדות כתב האישום המתוקן ללמד על חומרת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לא מדובר במקרה ירי בודד וחד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ברצף של מקרים במהלכם ירה הנאשם מספר רב של כדורים בסביבת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סיכון תושבי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יש לזקוף לחובת הנאשם את הסיכון הפוטנציאלי הרב הטמון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שהירי בוצע  עת שהיית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במקום תנועה של אנשים כפי שעולה מהסרטון 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בעצם נשיאת והחזקת הנשק בידי אדם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טמון פוטנציאל נזק עצום ובמקרה דנן אך במזל לא היו פגיעות בנפש וכל שנגרם הוא נזק לחלון ביתו של דיאב דיב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בנוסף כי הסרטון 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 על נגישותו הרבה של הנאשם לנשקים וזמינותם עבורו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גם שהנשק ששימש לביצוע הירי לא נתפס עד היום והאקדח נותר זמין לו ולאחרים לביצוע עבירות נוספות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 עוד כי מעשיו של הנאשם פגעו בסדר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רכושו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שסקרה במסגרת טיעוניה לעונש פסיקה להמחשת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ובהתייחס לנסיבות הקשורות בביצוע העבירות לצד הפגיעה הגבוהה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סבורה המאשימה כי מתחם העונש ההולם נע בין </w:t>
      </w:r>
      <w:r>
        <w:rPr>
          <w:rFonts w:cs="David" w:ascii="David" w:hAnsi="David"/>
        </w:rPr>
        <w:t>7-4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בקשה לתת את הדעת לחובת הנאשם לכך שהמחוקק העלה את עונש המאסר המרבי בעבירה של ירי באזור מגורים לעונש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וכן לכך שעמדת בית המשפט העליון הינה החמרה בענישה בעבירות נשק הכוללות ירי באזור מגורים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לתסקיר שירות המבחן המלמד כי הנאשם אך לוקח אחריות פורמאלית ומפנים חלקית את מעשיו וכן כי קיים סיכון גבוה לכך שיבצע 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לא בא התסקיר בהמלצה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המאשימה כי חרף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ברצף של אירועי ירי בערב אחד המלמדים על דפוסי עבריינות מושרשים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 סבורה היא  כי אין ליתן משקל רב לגילו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לעברו הפלילי הנקי ולהודאתו בהזדמנות הראשונה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עוד כי הסכסוך בין המשפחות עודנו 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שעולה מדברי הנאשם בפני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שאינו מתיישב עם הסולחה לה טוענת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גם אם  נערכה סולחה אמתית וכנה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שלשיטת המאשימה אין לייחס לנתון זה משקל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שקיים האינטרס הציבורי למיצוי הדין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כי יש להשית על הנאשם עונש של מאסר בפועל באמצע מתחם העונש ההולם לו היא כאמור עותרת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לצד מאסר על תנאי 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כספי ופיצוי למתלונן דיאב דיב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הסניגור ביקש בטיעוניו לעונש שלא למצות את הדין עם הנאשם נוכח גילו הצעיר בעת ביצוע העבירות וקרבתו לגיל הקטינות כמו גם העובדה כי זו לנאשם הסתבכותו הראשונה והיחידה עם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היה עצור במעצר מאחורי סורג ובריח מיום </w:t>
      </w:r>
      <w:r>
        <w:rPr>
          <w:rFonts w:cs="David" w:ascii="David" w:hAnsi="David"/>
        </w:rPr>
        <w:t>17/4/20-26/9/19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ומאז ועד היום הוא עצור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שהפר את התנאים שהושתו עליו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הסנגור כי הנאשם ביצע את העבירות על רקע סכסוך מתמשך בין שתי המשפחות וכי אירועי הירי בוצעו לאחר אירועי ירי קודמים שאחד מהם כוון לעבר ביתו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הסניגור הגיש הסכם סולחה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שנערך בין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רבאן דיאב דיב 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רבאן סאלח מועין לבין הנאשם באמצעות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ולפיו הסכסוך בין הצדדים שהוביל להליך המשפטי בתיק זה בא אל סיומו ומערכת היחסים בין הצדדים טובה וידידותית ואף הובעה מחילה מלאה על התרחשות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הסכם הסולחה הביא לשחרור הנאשם ממעצר של ממש לאחר שהמתלונן הביא את עמדתו בפני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 וטען כי נכון להיום הסכם הסולחה הוכיח עצמו וכי מאז שנחתם לא התרחשו אירועים נוספים בין המשפחות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הסניגור הדגיש את הודאתו של הנאשם בהזדמנות הראשונה אשר חסכה הן זמן שיפוטי והן העדת </w:t>
      </w:r>
      <w:r>
        <w:rPr>
          <w:rFonts w:cs="David" w:ascii="David" w:hAnsi="David"/>
        </w:rPr>
        <w:t>130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 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 הסניגור את נסיבותיו האישיות הקשות של הנאשם העולות  ממקרא 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בסיכומו של דבר ולאחר שהגיש לעניין העונש אסופת פסיקה מטעם ההגנה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טען הסנגור כי תקופת מעצרו של הנאשם מהווה בתיק זה עונש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שבד בבד הסכים לכך שיוטל על הנאשם עונש של מאסר בפועל לריצוי 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מצבו הכספי הקשה של הנאשם ונוכח הסכם הסולחה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הסניגור כי לא יושתו על הנאשם קנס כספי  או פיצוי לטובת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בדבריו בפני בית המשפט הביע צער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-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בדבריו הבאים מדיניות ענישה מחמירה ביחס לעבירות המגלמות בחובן שימוש בנשק חם למטרת יישוב סכסוכים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851"/>
        <w:jc w:val="both"/>
        <w:rPr>
          <w:rFonts w:ascii="Miriam" w:hAnsi="Miriam" w:cs="Miriam"/>
        </w:rPr>
      </w:pPr>
      <w:r>
        <w:rPr>
          <w:rFonts w:cs="David" w:ascii="David" w:hAnsi="David"/>
          <w:rtl w:val="true"/>
        </w:rPr>
        <w:t>"</w:t>
      </w:r>
      <w:r>
        <w:rPr>
          <w:rFonts w:cs="Miriam" w:ascii="Miriam" w:hAnsi="Miriam"/>
          <w:rtl w:val="true"/>
        </w:rPr>
        <w:t>...</w:t>
      </w:r>
      <w:r>
        <w:rPr>
          <w:rFonts w:ascii="Miriam" w:hAnsi="Miriam" w:cs="Miriam"/>
          <w:rtl w:val="true"/>
        </w:rPr>
        <w:t>השימוש בנשק חם ככלי ליישוב סכסוכים הפך לרעה חולה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ראו למשל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דו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cs="Miriam" w:ascii="Miriam" w:hAnsi="Miriam"/>
        </w:rPr>
        <w:t>28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2018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rtl w:val="true"/>
        </w:rPr>
        <w:t>על רקע המציאות אותה אנו חווים למרבה הצער מדי יום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Miriam" w:ascii="Miriam" w:hAnsi="Miriam"/>
          <w:rtl w:val="true"/>
        </w:rPr>
        <w:t>" 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16-15</w:t>
      </w:r>
      <w:r>
        <w:rPr>
          <w:rFonts w:cs="Miriam" w:ascii="Miriam" w:hAnsi="Miriam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ומהתם להכא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מעבר להחזקת ונשיא</w:t>
      </w:r>
      <w:r>
        <w:rPr>
          <w:rFonts w:ascii="David" w:hAnsi="David"/>
          <w:rtl w:val="true"/>
        </w:rPr>
        <w:t>ת האקדח עשה הנאשם</w:t>
      </w:r>
      <w:r>
        <w:rPr>
          <w:rFonts w:ascii="David" w:hAnsi="David"/>
          <w:rtl w:val="true"/>
        </w:rPr>
        <w:t xml:space="preserve"> שימוש בנשק באזור מגורים בו עלולים להיפגע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אף ירה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סמוך לביתו של דיאב דיב כשאחד מהם אף פגע בחלון ביתו של האחרון ופער בו חור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מדובר במקרה ירי בודד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אף בעקבות אירוע הירי הרביעי שנעשה אל עבר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אל הכביש הסמוך לחצר ובעודו מוקף באנשים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מספר יריות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ובחלוף 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בריצה לכיוון בית הדואר וירה ירייה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להוסיף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הורשע בנוסף לשתי העבירות של החזקת ונשיאת נשק ולשתי העבירות של 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בעבירה של איומים שכן הירי סמוך לבית דיאב דיב נעשה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 בכוונה להפחיד ולהקניט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להתעלם אמנם מכך שאירוע הירי האחרון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 נעשה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ירי לכיוון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 בבד אין גם להתעלם מכך שעסקינן בירי בסמוך לקבוצת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המגלם בחובו מסוכנות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העובדה שהנאשם הוסיף וירה ירייה נוספת לאחר שרץ לכיוון בית הדואר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בית המשפט לשדר מסר ברור של ענישה מרתיעה לבל תהפוך התופעה של 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לקיחת החוק לידיים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ועשיית דין 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לתופעה שכיחה בחברתנו</w:t>
      </w:r>
      <w:r>
        <w:rPr>
          <w:rFonts w:cs="David" w:ascii="David" w:hAnsi="David"/>
          <w:rtl w:val="true"/>
        </w:rPr>
        <w:t>.</w:t>
      </w:r>
      <w:r>
        <w:rPr>
          <w:rFonts w:cs="Miriam" w:ascii="Miriam" w:hAnsi="Miriam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eastAsia="Miriam" w:cs="Miriam" w:ascii="Miriam" w:hAnsi="Miriam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להלן סקירת פסיקה לצורך המחשת מדיניות הענישה הנהוגה בעבירות שבפנינו שעיקרן עבירות הנשק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ראפאת נבארי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07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בית המשפט העליון קיבל את </w:t>
      </w:r>
      <w:r>
        <w:rPr>
          <w:rFonts w:ascii="David" w:hAnsi="David"/>
          <w:rtl w:val="true"/>
        </w:rPr>
        <w:t>ערעור המדינה על קולת עונש המאסר בפועל שהשית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מחוזי על המשיב –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– בעקבות הרשעתו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בנשיאה והובלה של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תת מקלע מאולתר טעון ודרוך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ובירי מנשק חם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לאור הצורך החברתי להחמיר בענישה כל אימת שמדובר בירי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בהתחשב במכלול הנסיבות – לרבות השימוש שעשה המשיב בנשק אוטומטי מאולתר – ראוי היה להטיל על המשיב מאסר בפועל לתקופה ממושכת</w:t>
      </w:r>
      <w:r>
        <w:rPr>
          <w:rFonts w:ascii="David" w:hAnsi="David"/>
          <w:rtl w:val="true"/>
        </w:rPr>
        <w:t xml:space="preserve"> והעמיד את עונשו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תורק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10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נדחה ערעורו של נאשם אשר הורשע על פי הודאתו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הנאשם ומשפחתו לבין משפחה המתגוררת בשכנות התגלע סכסוך שכנים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התפתחה תגרה בין המשפחות במסגרתה בני משפחת המתלוננים אחזו בסכינים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הנאשם שב לביתו וחזר למקום כשהוא נושא בנשק ארוך והחל לירות לעבר שער ביתם של המתלוננים במטרה לאיים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ירה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קליעים כשאחד מהם פגע בשער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והשית עליו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לקח בחשבון כי המתלוננים איימו בסכינים על הנאשם ובני משפחתו וקבע כי מתחם העונש ראוי וכי אין מקום להתערב בעונש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4595/13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זובידאת ואח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 בית המשפט העליון בעונשם של נאשמים אשר הורשעו על פי הודאתם בעבירות של 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וקשירת קשר לפשע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הגיעו ברכב לחצר ביתו של המתלונן שעמו היה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מסוכסך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נושאים אקדח ותחמושת 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 לעבר בית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פגעו מספר קליעים בקירות הבית ובחלון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והשית עליהם עונש של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ציין כי </w:t>
      </w:r>
      <w:r>
        <w:rPr>
          <w:rFonts w:ascii="David" w:hAnsi="David"/>
          <w:rtl w:val="true"/>
        </w:rPr>
        <w:t>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אם אינו מכוון לפגיעה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מייצר סיכון ממשי לשלום הציבור ואישר את מתחם העונש </w:t>
      </w:r>
      <w:r>
        <w:rPr>
          <w:rFonts w:ascii="David" w:hAnsi="David"/>
          <w:rtl w:val="true"/>
        </w:rPr>
        <w:t xml:space="preserve">ההולם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העליון כאמור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והעמידו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סאלח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העליון ערעורו של נאשם והקל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על פי הודאתו בעבירות של נשיאת נשק וירי מנשק חם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נסע ברכב כשהוא נושא בבגדיו אקדח ובו מחסנית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בנסיבות אלה הוציא הנאשם את האקדח מחלון הרכב וירה באוויר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הקל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בהסכמת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והעמידו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2006/12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אסדי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 ערעור המדינה על קולת עונשו של נאשם אשר הורשע על פי הודאתו בעבירות של נשיאת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לביתו של אדם שלו היה אחיו חייב כספים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אקדח טעון 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בפגיעה באותו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כדור לעבר חלקו העליון של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הותיר על כנו את עונש המאסר בפועל בן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ind w:start="360" w:end="0"/>
        <w:jc w:val="start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ind w:start="360" w:end="0"/>
        <w:jc w:val="start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שבחנתי את הערכים החברתיים שנפגעו כתוצאה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היקף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הפסיקה אלה הפנה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הגעתי לכלל מסקנה כי מתחם העונש ההולם בתיק זה נע בין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עונש של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לצד רכיב ענישה של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מבכרת שלא להשית על הנאשם פיצוי לטובת דיב דיאב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לאור הסכם הסולחה שגובש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הצדדים ובהינתן העובדה שבפועל נגרם אך נזק לחלון הבית ולא מעבר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במסגרת הנסיבות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ציין את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הנאשם</w:t>
      </w:r>
      <w:r>
        <w:rPr>
          <w:rFonts w:ascii="David" w:hAnsi="David"/>
          <w:rtl w:val="true"/>
        </w:rPr>
        <w:t xml:space="preserve"> בהזדמנות</w:t>
      </w:r>
      <w:r>
        <w:rPr>
          <w:rFonts w:ascii="David" w:hAnsi="David"/>
          <w:rtl w:val="true"/>
        </w:rPr>
        <w:t xml:space="preserve"> הראשונה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חסכה מזמנו היקר של בית </w:t>
      </w:r>
      <w:r>
        <w:rPr>
          <w:rFonts w:ascii="David" w:hAnsi="David"/>
          <w:rtl w:val="true"/>
        </w:rPr>
        <w:t>המשפט והעד</w:t>
      </w:r>
      <w:r>
        <w:rPr>
          <w:rFonts w:ascii="David" w:hAnsi="David"/>
          <w:rtl w:val="true"/>
        </w:rPr>
        <w:t xml:space="preserve">ת מספר רב של </w:t>
      </w:r>
      <w:r>
        <w:rPr>
          <w:rFonts w:ascii="David" w:hAnsi="David"/>
          <w:rtl w:val="true"/>
        </w:rPr>
        <w:t>עדי</w:t>
      </w:r>
      <w:r>
        <w:rPr>
          <w:rFonts w:ascii="David" w:hAnsi="David"/>
          <w:rtl w:val="true"/>
        </w:rPr>
        <w:t xml:space="preserve"> 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אזקוף לזכותו של הנאשם את גילו הצעיר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היותו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עברו הנקי ללא רבב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כן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מה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הסכם הסולחה שנערך בין הצדדים ואת טיעוני הסנגור לעניין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את הדעת להתרשמותו של שירות המבחן ולהערכתו לפיה קיימת רמת מסוכנות משמעותית להישנות עבירות אלימות ברמת חומרה גבוהה מצדו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ששקללתי את מכלול הטעמים שאינם קשורים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ותוך מתן משקל של ממש לעברו </w:t>
      </w:r>
      <w:r>
        <w:rPr>
          <w:rFonts w:ascii="David" w:hAnsi="David"/>
          <w:rtl w:val="true"/>
        </w:rPr>
        <w:t>הנקי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לגילו הצעיר</w:t>
      </w:r>
      <w:r>
        <w:rPr>
          <w:rFonts w:ascii="David" w:hAnsi="David"/>
          <w:rtl w:val="true"/>
        </w:rPr>
        <w:t xml:space="preserve"> ולהודאתו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בדעה כי מן הראוי להשית על הנאשם בתיק זה עונש של מאסר בפועל ברף התחתון של מתחם העונש ההולם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לצד </w:t>
      </w:r>
      <w:r>
        <w:rPr>
          <w:rFonts w:ascii="David" w:hAnsi="David"/>
          <w:rtl w:val="true"/>
        </w:rPr>
        <w:t xml:space="preserve">מאסר מותנה מרתיע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דנה </w:t>
      </w:r>
      <w:r>
        <w:rPr>
          <w:rFonts w:ascii="David" w:hAnsi="David"/>
          <w:rtl w:val="true"/>
        </w:rPr>
        <w:t>את הנאשם לעונשים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למאסר בפועל לתקופה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26/9/2019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17/4/20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והתנאי הוא לבל יבצע  עבירה מסוג פשע לפי </w:t>
      </w:r>
      <w:hyperlink r:id="rId3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והתנאי הוא לבל יבצע הנאשם עבירה לפי </w:t>
      </w:r>
      <w:hyperlink r:id="rId3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עבירה מסוג עוון לפי </w:t>
      </w:r>
      <w:hyperlink r:id="rId3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או עבירה של איומים לפי </w:t>
      </w:r>
      <w:hyperlink r:id="rId4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המזכירות תמציא העתק מגזר הדין לשרות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highlight w:val="yellow"/>
        </w:rPr>
      </w:pPr>
      <w:r>
        <w:rPr>
          <w:rFonts w:eastAsia="David" w:cs="David" w:ascii="David" w:hAnsi="David"/>
          <w:b/>
          <w:bCs/>
          <w:rtl w:val="true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highlight w:val="yellow"/>
        </w:rPr>
      </w:pPr>
      <w:r>
        <w:rPr>
          <w:rFonts w:cs="David" w:ascii="David" w:hAnsi="David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חשון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8/11/20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מאיה חזן דהן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bookmarkEnd w:id="9"/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בויראת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15772-11-19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קוסאי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0a.b.1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case/6243627" TargetMode="External"/><Relationship Id="rId21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case/5573417" TargetMode="External"/><Relationship Id="rId28" Type="http://schemas.openxmlformats.org/officeDocument/2006/relationships/hyperlink" Target="http://www.nevo.co.il/case/5601503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6492590" TargetMode="External"/><Relationship Id="rId31" Type="http://schemas.openxmlformats.org/officeDocument/2006/relationships/hyperlink" Target="http://www.nevo.co.il/case/21474922" TargetMode="External"/><Relationship Id="rId32" Type="http://schemas.openxmlformats.org/officeDocument/2006/relationships/hyperlink" Target="http://www.nevo.co.il/case/7697292" TargetMode="External"/><Relationship Id="rId33" Type="http://schemas.openxmlformats.org/officeDocument/2006/relationships/hyperlink" Target="http://www.nevo.co.il/case/5575978" TargetMode="External"/><Relationship Id="rId34" Type="http://schemas.openxmlformats.org/officeDocument/2006/relationships/hyperlink" Target="http://www.nevo.co.il/case/5578534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40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2021-10-11T08:26:00Z</dcterms:created>
  <dc:creator> </dc:creator>
  <dc:description/>
  <cp:keywords/>
  <dc:language>en-IL</dc:language>
  <cp:lastModifiedBy>h1</cp:lastModifiedBy>
  <dcterms:modified xsi:type="dcterms:W3CDTF">2021-10-11T08:26:00Z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קוסאי ג'רבאן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6243627;5573417;5601503;25824863;26492590;21474922;7697292;5575978;5578534</vt:lpwstr>
  </property>
  <property fmtid="{D5CDD505-2E9C-101B-9397-08002B2CF9AE}" pid="9" name="CITY">
    <vt:lpwstr>חי'</vt:lpwstr>
  </property>
  <property fmtid="{D5CDD505-2E9C-101B-9397-08002B2CF9AE}" pid="10" name="DATE">
    <vt:lpwstr>20201108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70301/144.a;144.b;340a.b.1;192:2;040b;040c;040i;40jc.b;144:2;340a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15772</vt:lpwstr>
  </property>
  <property fmtid="{D5CDD505-2E9C-101B-9397-08002B2CF9AE}" pid="22" name="NEWPARTB">
    <vt:lpwstr>11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390020201108</vt:lpwstr>
  </property>
  <property fmtid="{D5CDD505-2E9C-101B-9397-08002B2CF9AE}" pid="34" name="TYPE_N_DATE">
    <vt:lpwstr>39020201108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