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15905-09-10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גניים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480"/>
        <w:gridCol w:w="82"/>
      </w:tblGrid>
      <w:tr>
        <w:trPr>
          <w:trHeight w:val="337" w:hRule="atLeast"/>
        </w:trPr>
        <w:tc>
          <w:tcPr>
            <w:tcW w:w="87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אזולאי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כרים גניים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מתמחה סמדר בין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הופיע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חאלד אבו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אחמד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sz w:val="20"/>
        </w:rPr>
      </w:pPr>
      <w:bookmarkStart w:id="6" w:name="ABSTRACT_START"/>
      <w:bookmarkEnd w:id="6"/>
      <w:r>
        <w:rPr>
          <w:sz w:val="20"/>
          <w:sz w:val="20"/>
          <w:rtl w:val="true"/>
        </w:rPr>
        <w:t xml:space="preserve">הנאשם הורשע על פי הודאתו בביצוע עבירה של </w:t>
      </w:r>
      <w:r>
        <w:rPr>
          <w:b/>
          <w:b/>
          <w:bCs/>
          <w:sz w:val="20"/>
          <w:sz w:val="20"/>
          <w:rtl w:val="true"/>
        </w:rPr>
        <w:t>קבלת רכב גנוב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סעיף </w:t>
      </w:r>
      <w:r>
        <w:rPr>
          <w:sz w:val="20"/>
        </w:rPr>
        <w:t>413</w:t>
      </w:r>
      <w:r>
        <w:rPr>
          <w:sz w:val="20"/>
          <w:sz w:val="20"/>
          <w:rtl w:val="true"/>
        </w:rPr>
        <w:t>י</w:t>
      </w:r>
      <w:r>
        <w:rPr>
          <w:sz w:val="20"/>
          <w:rtl w:val="true"/>
        </w:rPr>
        <w:t xml:space="preserve">+ </w:t>
      </w:r>
      <w:r>
        <w:rPr>
          <w:sz w:val="20"/>
        </w:rPr>
        <w:t>413</w:t>
      </w:r>
      <w:r>
        <w:rPr>
          <w:sz w:val="20"/>
          <w:sz w:val="20"/>
          <w:rtl w:val="true"/>
        </w:rPr>
        <w:t>יב ל</w:t>
      </w:r>
      <w:hyperlink r:id="rId2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התשל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ז</w:t>
      </w:r>
      <w:r>
        <w:rPr>
          <w:sz w:val="20"/>
          <w:rtl w:val="true"/>
        </w:rPr>
        <w:t xml:space="preserve">- </w:t>
      </w:r>
      <w:r>
        <w:rPr>
          <w:sz w:val="20"/>
        </w:rPr>
        <w:t>1977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:"</w:t>
      </w:r>
      <w:r>
        <w:rPr>
          <w:sz w:val="20"/>
          <w:sz w:val="20"/>
          <w:rtl w:val="true"/>
        </w:rPr>
        <w:t>חוק העונשין</w:t>
      </w:r>
      <w:r>
        <w:rPr>
          <w:sz w:val="20"/>
          <w:rtl w:val="true"/>
        </w:rPr>
        <w:t xml:space="preserve">"), </w:t>
      </w:r>
      <w:r>
        <w:rPr>
          <w:sz w:val="20"/>
          <w:sz w:val="20"/>
          <w:rtl w:val="true"/>
        </w:rPr>
        <w:t xml:space="preserve">בעבירה של </w:t>
      </w:r>
      <w:r>
        <w:rPr>
          <w:b/>
          <w:b/>
          <w:bCs/>
          <w:sz w:val="20"/>
          <w:sz w:val="20"/>
          <w:rtl w:val="true"/>
        </w:rPr>
        <w:t>גניבה או זיוף של מסמך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סעיף </w:t>
      </w:r>
      <w:r>
        <w:rPr>
          <w:sz w:val="20"/>
        </w:rPr>
        <w:t>413</w:t>
      </w:r>
      <w:r>
        <w:rPr>
          <w:sz w:val="20"/>
          <w:sz w:val="20"/>
          <w:rtl w:val="true"/>
        </w:rPr>
        <w:t>ח</w:t>
      </w:r>
      <w:r>
        <w:rPr>
          <w:sz w:val="20"/>
          <w:rtl w:val="true"/>
        </w:rPr>
        <w:t>(</w:t>
      </w:r>
      <w:r>
        <w:rPr>
          <w:sz w:val="20"/>
        </w:rPr>
        <w:t>1,2</w:t>
      </w:r>
      <w:r>
        <w:rPr>
          <w:sz w:val="20"/>
          <w:rtl w:val="true"/>
        </w:rPr>
        <w:t xml:space="preserve">)+ </w:t>
      </w:r>
      <w:r>
        <w:rPr>
          <w:sz w:val="20"/>
        </w:rPr>
        <w:t>413</w:t>
      </w:r>
      <w:r>
        <w:rPr>
          <w:sz w:val="20"/>
          <w:sz w:val="20"/>
          <w:rtl w:val="true"/>
        </w:rPr>
        <w:t>יב לחוק העונשין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בעבירה של </w:t>
      </w:r>
      <w:r>
        <w:rPr>
          <w:b/>
          <w:b/>
          <w:bCs/>
          <w:sz w:val="20"/>
          <w:sz w:val="20"/>
          <w:rtl w:val="true"/>
        </w:rPr>
        <w:t>שינוי זהות רכב או חלק של 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סעיף </w:t>
      </w:r>
      <w:r>
        <w:rPr>
          <w:sz w:val="20"/>
        </w:rPr>
        <w:t>413</w:t>
      </w:r>
      <w:r>
        <w:rPr>
          <w:sz w:val="20"/>
          <w:sz w:val="20"/>
          <w:rtl w:val="true"/>
        </w:rPr>
        <w:t>ט</w:t>
      </w:r>
      <w:r>
        <w:rPr>
          <w:sz w:val="20"/>
          <w:rtl w:val="true"/>
        </w:rPr>
        <w:t xml:space="preserve">+ </w:t>
      </w:r>
      <w:r>
        <w:rPr>
          <w:sz w:val="20"/>
        </w:rPr>
        <w:t>413</w:t>
      </w:r>
      <w:r>
        <w:rPr>
          <w:sz w:val="20"/>
          <w:sz w:val="20"/>
          <w:rtl w:val="true"/>
        </w:rPr>
        <w:t>יב לחוק העונשין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וב</w:t>
      </w:r>
      <w:r>
        <w:rPr>
          <w:b/>
          <w:b/>
          <w:bCs/>
          <w:sz w:val="20"/>
          <w:sz w:val="20"/>
          <w:rtl w:val="true"/>
        </w:rPr>
        <w:t>עבירות בנשק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סעיף </w:t>
      </w:r>
      <w:r>
        <w:rPr>
          <w:sz w:val="20"/>
        </w:rPr>
        <w:t>144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>)(</w:t>
      </w:r>
      <w:r>
        <w:rPr>
          <w:sz w:val="20"/>
          <w:sz w:val="20"/>
          <w:rtl w:val="true"/>
        </w:rPr>
        <w:t>סיפא</w:t>
      </w:r>
      <w:r>
        <w:rPr>
          <w:sz w:val="20"/>
          <w:rtl w:val="true"/>
        </w:rPr>
        <w:t>)+ (</w:t>
      </w:r>
      <w:r>
        <w:rPr>
          <w:sz w:val="20"/>
          <w:sz w:val="20"/>
          <w:rtl w:val="true"/>
        </w:rPr>
        <w:t>ג</w:t>
      </w:r>
      <w:r>
        <w:rPr>
          <w:sz w:val="20"/>
          <w:rtl w:val="true"/>
        </w:rPr>
        <w:t>)(</w:t>
      </w:r>
      <w:r>
        <w:rPr>
          <w:sz w:val="20"/>
        </w:rPr>
        <w:t>1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sz w:val="20"/>
        </w:rPr>
      </w:pPr>
      <w:bookmarkStart w:id="7" w:name="ABSTRACT_END"/>
      <w:bookmarkEnd w:id="7"/>
      <w:r>
        <w:rPr>
          <w:sz w:val="20"/>
          <w:sz w:val="20"/>
          <w:rtl w:val="true"/>
        </w:rPr>
        <w:t xml:space="preserve">מהאישום הראשון עולה כי בתאריך </w:t>
      </w:r>
      <w:r>
        <w:rPr>
          <w:sz w:val="20"/>
        </w:rPr>
        <w:t>03.12.08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ברעננה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נגנב רכב מסוג טויוטה 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ר </w:t>
      </w:r>
      <w:r>
        <w:rPr>
          <w:sz w:val="20"/>
        </w:rPr>
        <w:t>7754966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:"</w:t>
      </w:r>
      <w:r>
        <w:rPr>
          <w:sz w:val="20"/>
          <w:sz w:val="20"/>
          <w:rtl w:val="true"/>
        </w:rPr>
        <w:t>הרכב הגנוב</w:t>
      </w:r>
      <w:r>
        <w:rPr>
          <w:sz w:val="20"/>
          <w:rtl w:val="true"/>
        </w:rPr>
        <w:t xml:space="preserve">") </w:t>
      </w:r>
      <w:r>
        <w:rPr>
          <w:sz w:val="20"/>
          <w:sz w:val="20"/>
          <w:rtl w:val="true"/>
        </w:rPr>
        <w:t xml:space="preserve">ולוחיות הרישוי שלו הוחלפו בלוחיות הנושאות את המספר </w:t>
      </w:r>
      <w:r>
        <w:rPr>
          <w:sz w:val="20"/>
        </w:rPr>
        <w:t>4598164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הנאשם קיבל את הרכב הגנוב לידיו ביודעין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24.02.10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החזיק בסמוך לביתו בנצרת ברכב הגנוב והמזויף ובמפתחותיו</w:t>
      </w:r>
      <w:r>
        <w:rPr>
          <w:sz w:val="20"/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מהאישום השני עולה כי הנאשם החזיק בביתו עשרה כדורי תחמושת בקוטר </w:t>
      </w:r>
      <w:r>
        <w:rPr>
          <w:sz w:val="20"/>
        </w:rPr>
        <w:t>9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מ</w:t>
      </w:r>
      <w:r>
        <w:rPr>
          <w:sz w:val="20"/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הצדדים הגיעו להסדר טיעון ולפיו הנאשם יופנה אל הממונה על עבודות שירות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 מנת לבחון התאמתו לריצוי עונש מאסר בעבודות שירות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כל צד יטען לעניין משך תקופת המאסר</w:t>
      </w:r>
      <w:r>
        <w:rPr>
          <w:sz w:val="20"/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הממונה על עבודות השירות מצא את הנאשם מתאים לריצוי עונש מאסר בעבודות שירות</w:t>
      </w:r>
      <w:r>
        <w:rPr>
          <w:sz w:val="20"/>
          <w:rtl w:val="true"/>
        </w:rPr>
        <w:t xml:space="preserve">. 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sz w:val="20"/>
          <w:highlight w:val="yellow"/>
        </w:rPr>
      </w:pPr>
      <w:r>
        <w:rPr>
          <w:sz w:val="20"/>
          <w:highlight w:val="yellow"/>
          <w:rtl w:val="true"/>
        </w:rPr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התביעה ביקש לכבד את ההסדר ולהטיל על הנאשם את מלוא תקופת ששת החודשים בעבודות שירות</w:t>
      </w:r>
      <w:r>
        <w:rPr>
          <w:rtl w:val="true"/>
        </w:rPr>
        <w:t xml:space="preserve">. </w:t>
      </w:r>
      <w:r>
        <w:rPr>
          <w:rtl w:val="true"/>
        </w:rPr>
        <w:t>אמנם לנאשם אין עבר פלילי</w:t>
      </w:r>
      <w:r>
        <w:rPr>
          <w:rtl w:val="true"/>
        </w:rPr>
        <w:t xml:space="preserve">, </w:t>
      </w:r>
      <w:r>
        <w:rPr>
          <w:rtl w:val="true"/>
        </w:rPr>
        <w:t>אולם מדובר בשני אישומים בעבירות שאינן קלות</w:t>
      </w:r>
      <w:r>
        <w:rPr>
          <w:rtl w:val="true"/>
        </w:rPr>
        <w:t xml:space="preserve">, </w:t>
      </w:r>
      <w:r>
        <w:rPr>
          <w:rtl w:val="true"/>
        </w:rPr>
        <w:t>כמו כן ביקש להטיל על הנאשם מאסר מותנה וקנס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הסנגור ביקש אף הוא לכבד את ההסדר ולצמצם תקופת המאסר</w:t>
      </w:r>
      <w:r>
        <w:rPr>
          <w:rtl w:val="true"/>
        </w:rPr>
        <w:t xml:space="preserve">. </w:t>
      </w:r>
      <w:r>
        <w:rPr>
          <w:rtl w:val="true"/>
        </w:rPr>
        <w:t>לדבריו מדובר בנאשם צעיר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נשוי ואב לשני ילדים</w:t>
      </w:r>
      <w:r>
        <w:rPr>
          <w:rtl w:val="true"/>
        </w:rPr>
        <w:t xml:space="preserve">, </w:t>
      </w:r>
      <w:r>
        <w:rPr>
          <w:rtl w:val="true"/>
        </w:rPr>
        <w:t>אשתו עקרת בית</w:t>
      </w:r>
      <w:r>
        <w:rPr>
          <w:rtl w:val="true"/>
        </w:rPr>
        <w:t xml:space="preserve">. </w:t>
      </w:r>
      <w:r>
        <w:rPr>
          <w:rtl w:val="true"/>
        </w:rPr>
        <w:t>הנאשם עובד כספר על כן ריצוי עונש מאסר בדרך של עבודות שירות יכביד על פרנסת המשפחה</w:t>
      </w:r>
      <w:r>
        <w:rPr>
          <w:rtl w:val="true"/>
        </w:rPr>
        <w:t xml:space="preserve">. </w:t>
      </w:r>
      <w:r>
        <w:rPr>
          <w:rtl w:val="true"/>
        </w:rPr>
        <w:t>הנאשם הורשע על פי הודאתו ובכך חסך זמן שיפוטי יקר וזימונם של העדים</w:t>
      </w:r>
      <w:r>
        <w:rPr>
          <w:rtl w:val="true"/>
        </w:rPr>
        <w:t xml:space="preserve">. </w:t>
      </w:r>
      <w:r>
        <w:rPr>
          <w:rtl w:val="true"/>
        </w:rPr>
        <w:t>לעניין הקנס</w:t>
      </w:r>
      <w:r>
        <w:rPr>
          <w:rtl w:val="true"/>
        </w:rPr>
        <w:t xml:space="preserve">, </w:t>
      </w:r>
      <w:r>
        <w:rPr>
          <w:rtl w:val="true"/>
        </w:rPr>
        <w:t>ביקש להסתפק בקנס נמוך ככל האפשר</w:t>
      </w:r>
      <w:r>
        <w:rPr>
          <w:rtl w:val="true"/>
        </w:rPr>
        <w:t xml:space="preserve">. </w:t>
      </w:r>
    </w:p>
    <w:p>
      <w:pPr>
        <w:pStyle w:val="normal-p"/>
        <w:bidi w:val="1"/>
        <w:ind w:end="0"/>
        <w:jc w:val="both"/>
        <w:rPr/>
      </w:pPr>
      <w:r>
        <w:rPr>
          <w:rStyle w:val="normal-h"/>
          <w:rtl w:val="true"/>
        </w:rPr>
        <w:t> 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outlineLvl w:val="0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דיון ומסקנות</w:t>
      </w:r>
      <w:r>
        <w:rPr>
          <w:b/>
          <w:bCs/>
          <w:sz w:val="20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>
          <w:sz w:val="20"/>
        </w:rPr>
      </w:pPr>
      <w:r>
        <w:rPr>
          <w:rtl w:val="true"/>
        </w:rPr>
        <w:t>הנאשם הורשע 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</w:t>
      </w:r>
      <w:r>
        <w:rPr>
          <w:b/>
          <w:b/>
          <w:bCs/>
          <w:sz w:val="20"/>
          <w:sz w:val="20"/>
          <w:rtl w:val="true"/>
        </w:rPr>
        <w:t>קבלת רכב גנוב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גניבה או זיוף של מסמך</w:t>
      </w:r>
      <w:r>
        <w:rPr>
          <w:sz w:val="20"/>
          <w:sz w:val="20"/>
          <w:rtl w:val="true"/>
        </w:rPr>
        <w:t xml:space="preserve"> וכן </w:t>
      </w:r>
      <w:r>
        <w:rPr>
          <w:b/>
          <w:b/>
          <w:bCs/>
          <w:sz w:val="20"/>
          <w:sz w:val="20"/>
          <w:rtl w:val="true"/>
        </w:rPr>
        <w:t>שינוי זהות רכב או חלק ממנו</w:t>
      </w:r>
      <w:r>
        <w:rPr>
          <w:rtl w:val="true"/>
        </w:rPr>
        <w:t>.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בעבירות גניבה וזיוף מסוג זה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האינטרס הציבורי מחייב להעניש את העבריינים בצורה מרתיעה כדי למנוע הישנותם של המעשים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מעשי מרמה ברכב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מהסוג אותם ביצע 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הינם אכן מעשים קלים לביצוע ומאידך קשה מאוד לגלותם ולתפוס את העבריינים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על כן יש לגזור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בדרך הכלל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עונש שיש בו כדי להרתיע את העבריין ואת שכמותו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המתעתדים לבצע עבירות מסוג זה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נוסף על כך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כשהמניע לביצוע העבירות הינו בצע כסף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יש אף לפגוע בכיסו של העבריין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בל נשכח כי מתווספת אף </w:t>
      </w:r>
      <w:r>
        <w:rPr>
          <w:b/>
          <w:b/>
          <w:bCs/>
          <w:sz w:val="20"/>
          <w:sz w:val="20"/>
          <w:rtl w:val="true"/>
        </w:rPr>
        <w:t>עבירה בנשק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באשר החזיק הנאשם בביתו תחמושת</w:t>
      </w:r>
      <w:r>
        <w:rPr>
          <w:sz w:val="20"/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sz w:val="20"/>
          <w:sz w:val="20"/>
          <w:rtl w:val="true"/>
        </w:rPr>
        <w:t>יחד עם זאת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יש לאזן תמיד את האינטרס הכללי עם  נסיבותיו האישיות של כל נאשם באשר הוא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כדברי כב</w:t>
      </w:r>
      <w:r>
        <w:rPr>
          <w:sz w:val="20"/>
          <w:rtl w:val="true"/>
        </w:rPr>
        <w:t xml:space="preserve">' </w:t>
      </w:r>
      <w:r>
        <w:rPr>
          <w:sz w:val="20"/>
          <w:sz w:val="20"/>
          <w:rtl w:val="true"/>
        </w:rPr>
        <w:t>המשנה לנשיא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כתוארו דאז</w:t>
      </w:r>
      <w:r>
        <w:rPr>
          <w:sz w:val="20"/>
          <w:rtl w:val="true"/>
        </w:rPr>
        <w:t>)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אלון ב</w:t>
      </w:r>
      <w:hyperlink r:id="rId3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ע</w:t>
        </w:r>
        <w:r>
          <w:rPr>
            <w:rStyle w:val="Hyperlink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z w:val="20"/>
            <w:u w:val="single"/>
          </w:rPr>
          <w:t>433/89</w:t>
        </w:r>
      </w:hyperlink>
      <w:r>
        <w:rPr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</w:t>
      </w:r>
      <w:r>
        <w:rPr>
          <w:b/>
          <w:bCs/>
          <w:sz w:val="20"/>
          <w:rtl w:val="true"/>
        </w:rPr>
        <w:t>'</w:t>
      </w:r>
      <w:r>
        <w:rPr>
          <w:b/>
          <w:b/>
          <w:bCs/>
          <w:sz w:val="20"/>
          <w:sz w:val="20"/>
          <w:rtl w:val="true"/>
        </w:rPr>
        <w:t>ורג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אטיאס</w:t>
      </w:r>
      <w:r>
        <w:rPr>
          <w:b/>
          <w:b/>
          <w:bCs/>
          <w:sz w:val="20"/>
          <w:sz w:val="20"/>
          <w:rtl w:val="true"/>
        </w:rPr>
        <w:t xml:space="preserve"> נ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 xml:space="preserve">מדינת ישראל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טרם פורסם</w:t>
      </w:r>
      <w:r>
        <w:rPr>
          <w:sz w:val="20"/>
          <w:rtl w:val="true"/>
        </w:rPr>
        <w:t>)</w:t>
      </w:r>
      <w:r>
        <w:rPr>
          <w:sz w:val="20"/>
          <w:rtl w:val="true"/>
        </w:rPr>
        <w:t xml:space="preserve">: </w:t>
      </w:r>
    </w:p>
    <w:p>
      <w:pPr>
        <w:pStyle w:val="Normal"/>
        <w:spacing w:lineRule="auto" w:line="360" w:before="120" w:after="0"/>
        <w:ind w:start="737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ואין אנו רשאים ל</w:t>
      </w:r>
      <w:r>
        <w:rPr>
          <w:b/>
          <w:bCs/>
          <w:sz w:val="20"/>
          <w:rtl w:val="true"/>
        </w:rPr>
        <w:t>-'</w:t>
      </w:r>
      <w:r>
        <w:rPr>
          <w:b/>
          <w:b/>
          <w:bCs/>
          <w:sz w:val="20"/>
          <w:sz w:val="20"/>
          <w:rtl w:val="true"/>
        </w:rPr>
        <w:t>הקל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על עצמנו ולהחמיר עם הנאשם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מתוך ההסתמכות על הנימוק והחשש שמא הקלה במקרה מסויים הראוי לכך תשמש תקדים למיקרים אחרים שאינם ראויים לכך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חזקה על בית המשפט שיידע להבחין בין מקרה למקרה לגופן של נסיבות ולעיצומם של דברים</w:t>
      </w:r>
      <w:r>
        <w:rPr>
          <w:b/>
          <w:bCs/>
          <w:sz w:val="20"/>
          <w:rtl w:val="true"/>
        </w:rPr>
        <w:t xml:space="preserve">". 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b/>
          <w:bCs/>
          <w:sz w:val="20"/>
          <w:highlight w:val="yellow"/>
        </w:rPr>
      </w:pPr>
      <w:r>
        <w:rPr>
          <w:b/>
          <w:bCs/>
          <w:sz w:val="20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לצד הקולא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נתתי דעתי לגילו הצעיר של הנאשם ולעובדה כי הוא נעדר עבר פלילי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 כן הודה הנאשם במעשיו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כפי שנאמר במקורותינו </w:t>
      </w:r>
      <w:r>
        <w:rPr>
          <w:rtl w:val="true"/>
        </w:rPr>
        <w:t>"</w:t>
      </w:r>
      <w:r>
        <w:rPr>
          <w:b/>
          <w:b/>
          <w:bCs/>
          <w:rtl w:val="true"/>
        </w:rPr>
        <w:t>מְכַסֶּה פְשָׁעָיו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לֹא </w:t>
      </w:r>
      <w:r>
        <w:rPr>
          <w:b/>
          <w:b/>
          <w:bCs/>
          <w:rtl w:val="true"/>
        </w:rPr>
        <w:t>יַצְלִיחַ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וּמוֹדֶה וְעֹזֵב יְרֻחָם</w:t>
      </w:r>
      <w:r>
        <w:rPr>
          <w:b/>
          <w:bCs/>
          <w:rtl w:val="true"/>
        </w:rPr>
        <w:t>:</w:t>
      </w:r>
      <w:r>
        <w:rPr>
          <w:rtl w:val="true"/>
        </w:rPr>
        <w:t>" (</w:t>
      </w:r>
      <w:r>
        <w:rPr>
          <w:rtl w:val="true"/>
        </w:rPr>
        <w:t>משלי כח</w:t>
      </w:r>
      <w:r>
        <w:rPr>
          <w:rtl w:val="true"/>
        </w:rPr>
        <w:t xml:space="preserve">, </w:t>
      </w:r>
      <w:r>
        <w:rPr>
          <w:rtl w:val="true"/>
        </w:rPr>
        <w:t>יג</w:t>
      </w:r>
      <w:r>
        <w:rPr>
          <w:rtl w:val="true"/>
        </w:rPr>
        <w:t>).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>אחר</w:t>
      </w:r>
      <w:r>
        <w:rPr>
          <w:rtl w:val="true"/>
        </w:rPr>
        <w:t xml:space="preserve"> ששמעתי את טיעוני הצדדים ושקלתי נסיבות המקרה</w:t>
      </w:r>
      <w:r>
        <w:rPr>
          <w:rtl w:val="true"/>
        </w:rPr>
        <w:t xml:space="preserve"> לקולא ולחומרא</w:t>
      </w:r>
      <w:r>
        <w:rPr>
          <w:rtl w:val="true"/>
        </w:rPr>
        <w:t xml:space="preserve">, </w:t>
      </w:r>
      <w:r>
        <w:rPr>
          <w:rtl w:val="true"/>
        </w:rPr>
        <w:t>מקבל אני את הסדר הטיעון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שאף לדעתי משקף נאמנה את האיזון הראוי בין נסיבות חייו של הנאשם</w:t>
      </w:r>
      <w:r>
        <w:rPr>
          <w:rtl w:val="true"/>
        </w:rPr>
        <w:t xml:space="preserve">, </w:t>
      </w:r>
      <w:r>
        <w:rPr>
          <w:rtl w:val="true"/>
        </w:rPr>
        <w:t>אל מול חומרת העבירות והאינטרס הציבורי ו</w:t>
      </w:r>
      <w:r>
        <w:rPr>
          <w:rtl w:val="true"/>
        </w:rPr>
        <w:t>מטיל עונש כדלהלן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066" w:leader="none"/>
        </w:tabs>
        <w:snapToGrid w:val="false"/>
        <w:spacing w:lineRule="auto" w:line="360" w:before="0" w:after="12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>אני</w:t>
      </w:r>
      <w:r>
        <w:rPr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מטיל על</w:t>
      </w:r>
      <w:r>
        <w:rPr>
          <w:b/>
          <w:b/>
          <w:bCs/>
          <w:sz w:val="20"/>
          <w:sz w:val="20"/>
          <w:rtl w:val="true"/>
        </w:rPr>
        <w:t xml:space="preserve"> הנאש</w:t>
      </w:r>
      <w:r>
        <w:rPr>
          <w:b/>
          <w:b/>
          <w:bCs/>
          <w:sz w:val="20"/>
          <w:sz w:val="20"/>
          <w:rtl w:val="true"/>
        </w:rPr>
        <w:t xml:space="preserve">ם מאסר בפועל של </w:t>
      </w:r>
      <w:r>
        <w:rPr>
          <w:b/>
          <w:bCs/>
          <w:sz w:val="20"/>
        </w:rPr>
        <w:t>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חודשים אשר ירוצה בדרך של עבודות שירות בעיריית נצרת עלית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 xml:space="preserve">תחילת עבודה בתאריך </w:t>
      </w:r>
      <w:r>
        <w:rPr>
          <w:b/>
          <w:bCs/>
          <w:sz w:val="20"/>
        </w:rPr>
        <w:t>06.06.11</w:t>
      </w:r>
      <w:r>
        <w:rPr>
          <w:b/>
          <w:bCs/>
          <w:sz w:val="2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066" w:leader="none"/>
        </w:tabs>
        <w:snapToGrid w:val="false"/>
        <w:spacing w:lineRule="auto" w:line="360" w:before="0" w:after="12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מאסר על תנאי של </w:t>
      </w:r>
      <w:r>
        <w:rPr>
          <w:b/>
          <w:bCs/>
          <w:sz w:val="20"/>
        </w:rPr>
        <w:t>6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חודשים לשלוש שנים שלא יעבור על כל עבירה שיש בה מרמה או זיוף או החזקת נשק שלא כדין</w:t>
      </w:r>
      <w:r>
        <w:rPr>
          <w:b/>
          <w:bCs/>
          <w:sz w:val="2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066" w:leader="none"/>
        </w:tabs>
        <w:snapToGrid w:val="false"/>
        <w:spacing w:lineRule="auto" w:line="360" w:before="0" w:after="12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>אני</w:t>
      </w:r>
      <w:r>
        <w:rPr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מטיל על </w:t>
      </w:r>
      <w:r>
        <w:rPr>
          <w:b/>
          <w:b/>
          <w:bCs/>
          <w:sz w:val="20"/>
          <w:sz w:val="20"/>
          <w:rtl w:val="true"/>
        </w:rPr>
        <w:t>הנאש</w:t>
      </w:r>
      <w:r>
        <w:rPr>
          <w:b/>
          <w:b/>
          <w:bCs/>
          <w:sz w:val="20"/>
          <w:sz w:val="20"/>
          <w:rtl w:val="true"/>
        </w:rPr>
        <w:t>ם</w:t>
      </w:r>
      <w:r>
        <w:rPr>
          <w:b/>
          <w:b/>
          <w:bCs/>
          <w:sz w:val="20"/>
          <w:sz w:val="20"/>
          <w:rtl w:val="true"/>
        </w:rPr>
        <w:t xml:space="preserve"> קנס בסך</w:t>
      </w:r>
      <w:r>
        <w:rPr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5,000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ח</w:t>
      </w:r>
      <w:r>
        <w:rPr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או</w:t>
      </w:r>
      <w:r>
        <w:rPr>
          <w:b/>
          <w:b/>
          <w:bCs/>
          <w:sz w:val="20"/>
          <w:sz w:val="20"/>
          <w:rtl w:val="true"/>
        </w:rPr>
        <w:t xml:space="preserve"> חודשיים</w:t>
      </w:r>
      <w:r>
        <w:rPr>
          <w:b/>
          <w:b/>
          <w:bCs/>
          <w:sz w:val="20"/>
          <w:sz w:val="20"/>
          <w:rtl w:val="true"/>
        </w:rPr>
        <w:t xml:space="preserve"> מאסר</w:t>
      </w:r>
      <w:r>
        <w:rPr>
          <w:b/>
          <w:b/>
          <w:bCs/>
          <w:sz w:val="20"/>
          <w:sz w:val="20"/>
          <w:rtl w:val="true"/>
        </w:rPr>
        <w:t xml:space="preserve"> תמורתו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הקנס</w:t>
      </w:r>
      <w:r>
        <w:rPr>
          <w:b/>
          <w:b/>
          <w:bCs/>
          <w:sz w:val="20"/>
          <w:sz w:val="20"/>
          <w:rtl w:val="true"/>
        </w:rPr>
        <w:t xml:space="preserve"> ישולם </w:t>
      </w:r>
      <w:r>
        <w:rPr>
          <w:b/>
          <w:b/>
          <w:bCs/>
          <w:sz w:val="20"/>
          <w:sz w:val="20"/>
          <w:rtl w:val="true"/>
        </w:rPr>
        <w:t>ב</w:t>
      </w:r>
      <w:r>
        <w:rPr>
          <w:b/>
          <w:bCs/>
          <w:sz w:val="20"/>
          <w:rtl w:val="true"/>
        </w:rPr>
        <w:t xml:space="preserve">- </w:t>
      </w:r>
      <w:r>
        <w:rPr>
          <w:b/>
          <w:bCs/>
          <w:sz w:val="20"/>
        </w:rPr>
        <w:t>10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תשלומים</w:t>
      </w:r>
      <w:r>
        <w:rPr>
          <w:b/>
          <w:b/>
          <w:bCs/>
          <w:sz w:val="20"/>
          <w:sz w:val="20"/>
          <w:rtl w:val="true"/>
        </w:rPr>
        <w:t xml:space="preserve"> חודשיים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תשלום ראשון בעוד חודש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במידה</w:t>
      </w:r>
      <w:r>
        <w:rPr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ולא</w:t>
      </w:r>
      <w:r>
        <w:rPr>
          <w:b/>
          <w:b/>
          <w:bCs/>
          <w:sz w:val="20"/>
          <w:sz w:val="20"/>
          <w:rtl w:val="true"/>
        </w:rPr>
        <w:t xml:space="preserve"> ישולם תשלום אחד מבין התשלומים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יעמוד כל הקנס לפ</w:t>
      </w:r>
      <w:r>
        <w:rPr>
          <w:b/>
          <w:b/>
          <w:bCs/>
          <w:sz w:val="20"/>
          <w:sz w:val="20"/>
          <w:rtl w:val="true"/>
        </w:rPr>
        <w:t>י</w:t>
      </w:r>
      <w:r>
        <w:rPr>
          <w:b/>
          <w:b/>
          <w:bCs/>
          <w:sz w:val="20"/>
          <w:sz w:val="20"/>
          <w:rtl w:val="true"/>
        </w:rPr>
        <w:t>רעון מידי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והופקדו כספים בתיק 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יש לקזזם עם הקנס ואת היתרה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באם קיימת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יש להשיב לנאשם</w:t>
      </w:r>
      <w:r>
        <w:rPr>
          <w:b/>
          <w:bCs/>
          <w:sz w:val="20"/>
          <w:rtl w:val="true"/>
        </w:rPr>
        <w:t xml:space="preserve">. 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המוצגים תחמושת להשמדה</w:t>
      </w:r>
      <w:r>
        <w:rPr>
          <w:b/>
          <w:bCs/>
          <w:sz w:val="20"/>
          <w:u w:val="single"/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napToGrid w:val="false"/>
        <w:spacing w:lineRule="auto" w:line="360" w:before="0" w:after="120"/>
        <w:ind w:end="0"/>
        <w:jc w:val="both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הרכב יוחזר לבעליו המקוריים או לחברת הביטוח במידה והבעלים פוצו</w:t>
      </w:r>
      <w:r>
        <w:rPr>
          <w:b/>
          <w:bCs/>
          <w:sz w:val="20"/>
          <w:u w:val="single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end="0"/>
        <w:jc w:val="both"/>
        <w:outlineLvl w:val="0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בבית משפט מחוזי בנצרת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6"/>
          <w:szCs w:val="6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אייר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24/05/2011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ראמי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15905-09-10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כרים גניים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433/89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2011-05-25T10:39:00Z</dcterms:created>
  <dc:creator> </dc:creator>
  <dc:description/>
  <cp:keywords/>
  <dc:language>en-IL</dc:language>
  <cp:lastModifiedBy>hofit</cp:lastModifiedBy>
  <dcterms:modified xsi:type="dcterms:W3CDTF">2011-05-25T10:39:00Z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כרים גניים</vt:lpwstr>
  </property>
  <property fmtid="{D5CDD505-2E9C-101B-9397-08002B2CF9AE}" pid="4" name="CITY">
    <vt:lpwstr>נצ'</vt:lpwstr>
  </property>
  <property fmtid="{D5CDD505-2E9C-101B-9397-08002B2CF9AE}" pid="5" name="DATE">
    <vt:lpwstr>20110524</vt:lpwstr>
  </property>
  <property fmtid="{D5CDD505-2E9C-101B-9397-08002B2CF9AE}" pid="6" name="ISABSTRACT">
    <vt:lpwstr>Y</vt:lpwstr>
  </property>
  <property fmtid="{D5CDD505-2E9C-101B-9397-08002B2CF9AE}" pid="7" name="JUDGE">
    <vt:lpwstr>ג'ורג' אזולאי</vt:lpwstr>
  </property>
  <property fmtid="{D5CDD505-2E9C-101B-9397-08002B2CF9AE}" pid="8" name="LAWYER">
    <vt:lpwstr>מתמחה סמדר בין;חאלד אבו אחמד</vt:lpwstr>
  </property>
  <property fmtid="{D5CDD505-2E9C-101B-9397-08002B2CF9AE}" pid="9" name="NEWPARTA">
    <vt:lpwstr>15905</vt:lpwstr>
  </property>
  <property fmtid="{D5CDD505-2E9C-101B-9397-08002B2CF9AE}" pid="10" name="NEWPARTB">
    <vt:lpwstr>09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RemarkFileName">
    <vt:lpwstr>shalom sh 10 09 15905 241 htm</vt:lpwstr>
  </property>
  <property fmtid="{D5CDD505-2E9C-101B-9397-08002B2CF9AE}" pid="15" name="TYPE">
    <vt:lpwstr>3</vt:lpwstr>
  </property>
  <property fmtid="{D5CDD505-2E9C-101B-9397-08002B2CF9AE}" pid="16" name="TYPE_ABS_DATE">
    <vt:lpwstr>380020110524</vt:lpwstr>
  </property>
  <property fmtid="{D5CDD505-2E9C-101B-9397-08002B2CF9AE}" pid="17" name="TYPE_N_DATE">
    <vt:lpwstr>38020110524</vt:lpwstr>
  </property>
  <property fmtid="{D5CDD505-2E9C-101B-9397-08002B2CF9AE}" pid="18" name="WORDNUMPAGES">
    <vt:lpwstr>3</vt:lpwstr>
  </property>
</Properties>
</file>