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15905-09-18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זידאן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יחיאל ליפשיץ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Arial" w:ascii="Arial" w:hAnsi="Arial"/>
                <w:sz w:val="28"/>
                <w:szCs w:val="28"/>
              </w:rPr>
              <w:t>1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עבד זידאן 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/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אסיר בפיקוח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Arial" w:ascii="Arial" w:hAnsi="Arial"/>
                <w:sz w:val="28"/>
                <w:szCs w:val="28"/>
              </w:rPr>
              <w:t>2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חמזה זידאן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275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7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המבחן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1969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LawTable_End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תושבי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הודייתם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ההודיה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עיקרי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כתב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האישום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המתוקן</w:t>
      </w:r>
      <w:r>
        <w:rPr>
          <w:rFonts w:ascii="David" w:hAnsi="David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ותושבי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1994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1997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19.7.18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i/>
          <w:i/>
          <w:iCs/>
          <w:u w:val="single"/>
          <w:rtl w:val="true"/>
        </w:rPr>
        <w:t>מכאן</w:t>
      </w:r>
      <w:r>
        <w:rPr>
          <w:rFonts w:ascii="David" w:hAnsi="David"/>
          <w:i/>
          <w:i/>
          <w:iCs/>
          <w:u w:val="single"/>
          <w:rtl w:val="true"/>
        </w:rPr>
        <w:t xml:space="preserve"> </w:t>
      </w:r>
      <w:r>
        <w:rPr>
          <w:rFonts w:ascii="David" w:hAnsi="David"/>
          <w:i/>
          <w:i/>
          <w:iCs/>
          <w:u w:val="single"/>
          <w:rtl w:val="true"/>
        </w:rPr>
        <w:t>ואילך</w:t>
      </w:r>
      <w:r>
        <w:rPr>
          <w:rFonts w:ascii="David" w:hAnsi="David"/>
          <w:i/>
          <w:i/>
          <w:iCs/>
          <w:u w:val="single"/>
          <w:rtl w:val="true"/>
        </w:rPr>
        <w:t xml:space="preserve"> </w:t>
      </w:r>
      <w:r>
        <w:rPr>
          <w:rFonts w:ascii="David" w:hAnsi="David"/>
          <w:i/>
          <w:i/>
          <w:iCs/>
          <w:u w:val="single"/>
          <w:rtl w:val="true"/>
        </w:rPr>
        <w:t>עובדות</w:t>
      </w:r>
      <w:r>
        <w:rPr>
          <w:rFonts w:ascii="David" w:hAnsi="David"/>
          <w:i/>
          <w:i/>
          <w:iCs/>
          <w:u w:val="single"/>
          <w:rtl w:val="true"/>
        </w:rPr>
        <w:t xml:space="preserve"> </w:t>
      </w:r>
      <w:r>
        <w:rPr>
          <w:rFonts w:ascii="David" w:hAnsi="David"/>
          <w:i/>
          <w:i/>
          <w:iCs/>
          <w:u w:val="single"/>
          <w:rtl w:val="true"/>
        </w:rPr>
        <w:t>כתב</w:t>
      </w:r>
      <w:r>
        <w:rPr>
          <w:rFonts w:ascii="David" w:hAnsi="David"/>
          <w:i/>
          <w:i/>
          <w:iCs/>
          <w:u w:val="single"/>
          <w:rtl w:val="true"/>
        </w:rPr>
        <w:t xml:space="preserve"> </w:t>
      </w:r>
      <w:r>
        <w:rPr>
          <w:rFonts w:ascii="David" w:hAnsi="David"/>
          <w:i/>
          <w:i/>
          <w:iCs/>
          <w:u w:val="single"/>
          <w:rtl w:val="true"/>
        </w:rPr>
        <w:t>האישום</w:t>
      </w:r>
      <w:r>
        <w:rPr>
          <w:rFonts w:ascii="David" w:hAnsi="David"/>
          <w:i/>
          <w:i/>
          <w:iCs/>
          <w:u w:val="single"/>
          <w:rtl w:val="true"/>
        </w:rPr>
        <w:t xml:space="preserve"> </w:t>
      </w:r>
      <w:r>
        <w:rPr>
          <w:rFonts w:ascii="David" w:hAnsi="David"/>
          <w:i/>
          <w:i/>
          <w:iCs/>
          <w:u w:val="single"/>
          <w:rtl w:val="true"/>
        </w:rPr>
        <w:t>המתוקן</w:t>
      </w:r>
      <w:r>
        <w:rPr>
          <w:rFonts w:ascii="David" w:hAnsi="David"/>
          <w:i/>
          <w:i/>
          <w:iCs/>
          <w:u w:val="single"/>
          <w:rtl w:val="true"/>
        </w:rPr>
        <w:t xml:space="preserve"> </w:t>
      </w:r>
      <w:r>
        <w:rPr>
          <w:rFonts w:ascii="David" w:hAnsi="David"/>
          <w:i/>
          <w:i/>
          <w:iCs/>
          <w:u w:val="single"/>
          <w:rtl w:val="true"/>
        </w:rPr>
        <w:t>מתייחסות</w:t>
      </w:r>
      <w:r>
        <w:rPr>
          <w:rFonts w:ascii="David" w:hAnsi="David"/>
          <w:i/>
          <w:i/>
          <w:iCs/>
          <w:u w:val="single"/>
          <w:rtl w:val="true"/>
        </w:rPr>
        <w:t xml:space="preserve"> </w:t>
      </w:r>
      <w:r>
        <w:rPr>
          <w:rFonts w:ascii="David" w:hAnsi="David"/>
          <w:i/>
          <w:i/>
          <w:iCs/>
          <w:u w:val="single"/>
          <w:rtl w:val="true"/>
        </w:rPr>
        <w:t>אך</w:t>
      </w:r>
      <w:r>
        <w:rPr>
          <w:rFonts w:ascii="David" w:hAnsi="David"/>
          <w:i/>
          <w:i/>
          <w:iCs/>
          <w:u w:val="single"/>
          <w:rtl w:val="true"/>
        </w:rPr>
        <w:t xml:space="preserve"> </w:t>
      </w:r>
      <w:r>
        <w:rPr>
          <w:rFonts w:ascii="David" w:hAnsi="David"/>
          <w:i/>
          <w:i/>
          <w:iCs/>
          <w:u w:val="single"/>
          <w:rtl w:val="true"/>
        </w:rPr>
        <w:t>לנאשם</w:t>
      </w:r>
      <w:r>
        <w:rPr>
          <w:rFonts w:ascii="David" w:hAnsi="David"/>
          <w:i/>
          <w:i/>
          <w:iCs/>
          <w:u w:val="single"/>
          <w:rtl w:val="true"/>
        </w:rPr>
        <w:t xml:space="preserve"> </w:t>
      </w:r>
      <w:r>
        <w:rPr>
          <w:rFonts w:cs="David" w:ascii="David" w:hAnsi="David"/>
          <w:i/>
          <w:iCs/>
          <w:u w:val="single"/>
        </w:rPr>
        <w:t>2</w:t>
      </w:r>
      <w:r>
        <w:rPr>
          <w:rFonts w:cs="David" w:ascii="David" w:hAnsi="David"/>
          <w:i/>
          <w:iCs/>
          <w:rtl w:val="true"/>
        </w:rPr>
        <w:t xml:space="preserve"> –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19.7.18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בכביש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קאיה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מפורק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ועטוף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בניילון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נצמד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נעטפו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בניילון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נצמד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פז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בכביש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784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למטע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הזיתים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נסיעתם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ונמלטו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בחניון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לתחנת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ועזבו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b/>
          <w:b/>
          <w:bCs/>
          <w:u w:val="single"/>
          <w:rtl w:val="true"/>
        </w:rPr>
        <w:t>החזקת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ascii="David" w:hAnsi="David"/>
          <w:rtl w:val="true"/>
        </w:rPr>
        <w:t xml:space="preserve">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);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ואילו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b/>
          <w:b/>
          <w:bCs/>
          <w:u w:val="single"/>
          <w:rtl w:val="true"/>
        </w:rPr>
        <w:t>נשיאת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והובלת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hyperlink r:id="rId10"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וסיפא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+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הפרעה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לשוטר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במילוי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hyperlink r:id="rId12">
        <w:r>
          <w:rPr>
            <w:rStyle w:val="Hyperlink"/>
            <w:rFonts w:cs="David" w:ascii="David" w:hAnsi="David"/>
            <w:color w:val="0000FF"/>
            <w:u w:val="single"/>
          </w:rPr>
          <w:t>275</w:t>
        </w:r>
      </w:hyperlink>
      <w:r>
        <w:rPr>
          <w:rFonts w:cs="David" w:ascii="David" w:hAnsi="David"/>
          <w:rtl w:val="true"/>
        </w:rPr>
        <w:t>+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 </w:t>
      </w:r>
      <w:hyperlink r:id="rId13"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תסקירי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שירות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המבחן</w:t>
      </w:r>
      <w:r>
        <w:rPr>
          <w:rFonts w:ascii="David" w:hAnsi="David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לגבי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בוגר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סדיר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בבניין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ושב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ששוחרר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לתחושת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מעמדו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בסכסוכים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הושפע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מסביבתו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המעניקה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לגיטימציה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המסבכים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אזקוף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בסיכונים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הטמונים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בתפיסות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ערכיות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מתפיסת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גברית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בלחץ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ומתפקד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עריכת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שינוי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בדפוסי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להערכה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בינוני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ייעודי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מסוכנותו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העמדתו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בפיקוח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בעבודות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צו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u w:val="single"/>
          <w:rtl w:val="true"/>
        </w:rPr>
        <w:t>קבוצה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טיפולית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ייעודית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בתחום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הומלץ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התחייבות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לגבי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הלה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ונתוני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וגבריות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מניידת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ומסוכנת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השפיע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סטטוס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והפגנת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חיזוק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דימוי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מצומצמת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התבוננות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למניעי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הומלץ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אמצעית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u w:val="single"/>
          <w:rtl w:val="true"/>
        </w:rPr>
        <w:t>עבודות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צו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u w:val="single"/>
          <w:rtl w:val="true"/>
        </w:rPr>
        <w:t>קבוצה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טיפולית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לחשוף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ולהשריש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ראיות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הצדדים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חאדר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זידאן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החינוך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כיועץ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זידאן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היכרותו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ומשפחתם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זידאן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ותמיכתו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טראגי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זידאן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הגדיר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בהשבתם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תמצית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טיעוני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הצדדים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לעונש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ודבר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הנאשמים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טרם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גזר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ולשמש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לפעילות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והדגישה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חפץ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להילחם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בתופעת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נגזרותיהן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ומרתיעה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ובטחונו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שלטון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ההפרעה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תפקידו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מתוכננים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וביכולתם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ולהפסיקם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מניידת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ולחבריו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לעצור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שלשיטתה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מייצגת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שצוינו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לאימוץ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שלשיטתו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וירוצו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בנתוני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וסיכויי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בבחורים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שגדלו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שניהלו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הוטעם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החשיבות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להמלצות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ולהערכתו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ובתוכנית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לעברייני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וסיכויי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בדברו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מצטער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ומתנצל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הסכמתו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שיידרש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שטעה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והבטיח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יסכים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לפעול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דיון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ומסקנות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לדוגמה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135/17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בסל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8.3.17</w:t>
      </w:r>
      <w:r>
        <w:rPr>
          <w:rFonts w:cs="Calibri" w:ascii="Calibri" w:hAnsi="Calibri"/>
          <w:rtl w:val="true"/>
        </w:rPr>
        <w:t xml:space="preserve">);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4215/18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טיב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8.7.18</w:t>
      </w:r>
      <w:r>
        <w:rPr>
          <w:rFonts w:cs="Calibri" w:ascii="Calibri" w:hAnsi="Calibri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יתפתה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התרגשות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cs="Calibri" w:ascii="Calibri" w:hAnsi="Calibri"/>
          <w:rtl w:val="true"/>
        </w:rPr>
        <w:t xml:space="preserve">;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3300/06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סנינה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10.8.06</w:t>
      </w:r>
      <w:r>
        <w:rPr>
          <w:rFonts w:cs="Calibri" w:ascii="Calibri" w:hAnsi="Calibri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מאפייני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Calibri" w:hAnsi="Calibri" w:cs="Calibri"/>
          <w:u w:val="single"/>
          <w:rtl w:val="true"/>
        </w:rPr>
        <w:t>לגבי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19.7.18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ואלמלא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שותפותו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מתברר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שציינתי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התעלמתי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המחמירים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משותפת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מעורפלים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המרכזי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לדוגמה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שצוינו</w:t>
      </w:r>
      <w:r>
        <w:rPr>
          <w:rFonts w:ascii="David" w:hAnsi="David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>): "</w:t>
      </w: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.)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התקפי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שבכוחו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לגרום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הבחנה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אפוא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משנרכש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תחמושת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מתאימה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לגבי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בנשיאתו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שבצמוד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והתחמושת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המחוקק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להבדיל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לדוגמה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ומטלטל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קונקרטית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מפורק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ומחולק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עטוף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בניילון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התכוון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מהשוטרים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שבגינו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ייחודיות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נשיאה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המתייחסות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u w:val="single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ומאידך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המתייחסות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u w:val="single"/>
          <w:rtl w:val="true"/>
        </w:rPr>
        <w:t>כלי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נשק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אוטומטיים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וביתר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פירוט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135/17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בסל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8.3.17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כשבוע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18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מוּנע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בחרגו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סוף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דבר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בהתחשב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בערכים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החברתיים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הנפגעים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ומידת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הפגיעה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ביצוע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ומידת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אשמו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לאחר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שלקחתי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בחשבון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הנוהגת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לצד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המדיניות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הראויה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סבורה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כי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מתחם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ההולם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בענייננו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נע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בין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12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cs="David" w:ascii="David" w:hAnsi="David"/>
          <w:b/>
          <w:bCs/>
          <w:u w:val="single"/>
        </w:rPr>
        <w:t>36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חודשי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מאסר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בפועל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לטעמי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מהסוג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הנדון</w:t>
      </w:r>
      <w:r>
        <w:rPr>
          <w:rFonts w:ascii="David" w:hAnsi="David"/>
          <w:b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בנסיבות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ביצוען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כאן</w:t>
      </w:r>
      <w:r>
        <w:rPr>
          <w:rFonts w:ascii="David" w:hAnsi="David"/>
          <w:b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להסתפק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ראוי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להטיל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שירוצה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הכלא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מאחורי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סורג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ובריח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. . 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במקור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.)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ואימץ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באפיק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הקונקרטיות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המשיב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3336/18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סמארה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29.11.18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שני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תתי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מקלע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המכונים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קרלו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מרדף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הערכאה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וגזרה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שמאסרו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ומבחן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למגמת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ההחמרה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24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לנסיעתו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המהירה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הסתבך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לואיליה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13.9.17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מושלך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מאולתר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הערכאה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וגזרה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ייתכן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להתערב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62537-05-17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טאהא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המכונה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משהורו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הומלץ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24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בין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36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הקונקרטי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העמימות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מפורק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u w:val="single"/>
          <w:rtl w:val="true"/>
        </w:rPr>
        <w:t>אלמלא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נתונים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אלה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היו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נקבעים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מתחמים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מחמירים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יותר</w:t>
      </w:r>
      <w:r>
        <w:rPr>
          <w:rFonts w:cs="David" w:ascii="David" w:hAnsi="David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–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מחזיקים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סתם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אוטומטי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לאיסור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ונשיאה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המצטרף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לצערנו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מחזיקים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ונושאים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וטוענים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שנשקם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לגבריותם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להעלאת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העצמי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נגררותם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וכו</w:t>
      </w:r>
      <w:r>
        <w:rPr>
          <w:rFonts w:cs="David" w:ascii="David" w:hAnsi="David"/>
          <w:rtl w:val="true"/>
        </w:rPr>
        <w:t xml:space="preserve">'.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כשלרוב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החלטתם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לצערנו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פציעה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שיבחר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ולשאת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ספונטאנית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ורגעית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להחלטה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המסתברת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בענישה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קבוצות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שמטרתן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הנורמות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הקלוקלות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ולהשריש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לשבח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הבחירה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לעברייני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למותר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לזכות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שצוינו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גילם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הודייתם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וכמובן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וההמלצות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השפעות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והשווה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בשינויים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המחויבים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7473/10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דירבאס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14.4.11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לנייד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1000/15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אלחווה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3.7.2015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לענייננו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וצוינו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>:"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>בנידון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דידן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בחינת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מהותה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ועוצמתה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הזיקה</w:t>
      </w:r>
      <w:r>
        <w:rPr>
          <w:rFonts w:cs="David" w:ascii="David" w:hAnsi="David"/>
          <w:b/>
          <w:bCs/>
          <w:rtl w:val="true"/>
        </w:rPr>
        <w:t>" 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ascii="David" w:hAnsi="David"/>
          <w:b/>
          <w:b/>
          <w:bCs/>
          <w:rtl w:val="true"/>
        </w:rPr>
        <w:t xml:space="preserve"> 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4148/92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מועד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22.9.1994</w:t>
      </w:r>
      <w:r>
        <w:rPr>
          <w:rFonts w:cs="David" w:ascii="David" w:hAnsi="David"/>
          <w:b/>
          <w:bCs/>
          <w:rtl w:val="true"/>
        </w:rPr>
        <w:t xml:space="preserve">))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מכוניתו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המערער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מלמדת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חילוטה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המכונית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מוצדק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שכן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המכונית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שימשה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רכיב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מהותי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בביצוע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בלעדיו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הייתה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יכולה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להתבצע</w:t>
      </w:r>
      <w:r>
        <w:rPr>
          <w:rFonts w:cs="David" w:ascii="David" w:hAnsi="David"/>
          <w:b/>
          <w:bCs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hd w:fill="FFFFFF" w:val="clear"/>
        <w:spacing w:lineRule="auto" w:line="360"/>
        <w:ind w:end="709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אני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מורה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כדקלמן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hd w:fill="FFFFFF" w:val="clear"/>
        <w:spacing w:lineRule="auto" w:line="360"/>
        <w:ind w:hanging="7" w:start="560" w:end="709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hd w:fill="FFFFFF" w:val="clear"/>
        <w:spacing w:lineRule="auto" w:line="360"/>
        <w:ind w:hanging="7" w:start="560" w:end="709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לגבי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709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/>
        <w:ind w:start="560" w:end="142"/>
        <w:jc w:val="both"/>
        <w:rPr/>
      </w:pP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בעבודות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3.4.19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תחילת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ריצוי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עבודות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6.6.19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במפקדת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טלפונים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04-6728405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04-6728421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08-9775099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במספרי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הבריאותי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ביקורות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בגילופין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עשויה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142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142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142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המבחן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יקפיד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0"/>
        <w:ind w:start="560" w:end="142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 w:before="0" w:after="0"/>
        <w:ind w:start="560" w:end="142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לגבי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 xml:space="preserve">    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142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בניכוי ימי מעצרו בתיק זה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 xml:space="preserve">מיום </w:t>
      </w:r>
      <w:r>
        <w:rPr>
          <w:rFonts w:cs="Calibri" w:ascii="Calibri" w:hAnsi="Calibri"/>
        </w:rPr>
        <w:t>30.7.18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ועד ליום </w:t>
      </w:r>
      <w:r>
        <w:rPr>
          <w:rFonts w:cs="Calibri" w:ascii="Calibri" w:hAnsi="Calibri"/>
        </w:rPr>
        <w:t>6.8.18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וכן מיום </w:t>
      </w:r>
      <w:r>
        <w:rPr>
          <w:rFonts w:cs="Calibri" w:ascii="Calibri" w:hAnsi="Calibri"/>
        </w:rPr>
        <w:t>30.8.18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ועד </w:t>
      </w:r>
      <w:r>
        <w:rPr>
          <w:rFonts w:cs="Calibri" w:ascii="Calibri" w:hAnsi="Calibri"/>
        </w:rPr>
        <w:t>3.10.18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560" w:end="142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הנאשם יתייצב לריצוי מאסרו בבית מעצר קישון ביום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6.6.19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עד השעה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על פי החלטת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כשברשותו תעודת זהות או דרכון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על הנאשם לתאם את הכניסה למאסר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כולל האפשרות למיון מוקדם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עם ענף אבחון ומיון של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טלפונים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</w:rPr>
        <w:t>08-9787377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08-9787336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תנאי השחרור או המעצר באיזוק שחלו עד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ימשיכו לחול על מועד ההתייצבות בפועל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709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709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hanging="360" w:start="560" w:end="709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קאיה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83-472-63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המזכירות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תשלח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עותק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מגזר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hd w:fill="FFFFFF" w:val="clear"/>
        <w:spacing w:lineRule="auto" w:line="360" w:before="0" w:after="0"/>
        <w:ind w:start="560" w:end="709"/>
        <w:contextualSpacing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תשלח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עותק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מגזר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לממונה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עבודות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257" w:before="0" w:after="160"/>
        <w:ind w:start="560" w:end="709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cs="Calibri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15905-09-18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זידאן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numFmt w:val="bullet"/>
      <w:lvlText w:val=""/>
      <w:lvlJc w:val="end"/>
      <w:pPr>
        <w:tabs>
          <w:tab w:val="num" w:pos="0"/>
        </w:tabs>
        <w:ind w:start="353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ascii="Symbol" w:hAnsi="Symbol" w:eastAsia="Times New Roman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1553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/275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case/22006503" TargetMode="External"/><Relationship Id="rId15" Type="http://schemas.openxmlformats.org/officeDocument/2006/relationships/hyperlink" Target="http://www.nevo.co.il/case/24263578" TargetMode="External"/><Relationship Id="rId16" Type="http://schemas.openxmlformats.org/officeDocument/2006/relationships/hyperlink" Target="http://www.nevo.co.il/case/7791493" TargetMode="External"/><Relationship Id="rId17" Type="http://schemas.openxmlformats.org/officeDocument/2006/relationships/hyperlink" Target="http://www.nevo.co.il/case/5887664" TargetMode="External"/><Relationship Id="rId18" Type="http://schemas.openxmlformats.org/officeDocument/2006/relationships/hyperlink" Target="http://www.nevo.co.il/case/6473037" TargetMode="External"/><Relationship Id="rId19" Type="http://schemas.openxmlformats.org/officeDocument/2006/relationships/hyperlink" Target="http://www.nevo.co.il/case/7791493" TargetMode="External"/><Relationship Id="rId20" Type="http://schemas.openxmlformats.org/officeDocument/2006/relationships/hyperlink" Target="http://www.nevo.co.il/case/22006503" TargetMode="External"/><Relationship Id="rId21" Type="http://schemas.openxmlformats.org/officeDocument/2006/relationships/hyperlink" Target="http://www.nevo.co.il/case/7791493" TargetMode="External"/><Relationship Id="rId22" Type="http://schemas.openxmlformats.org/officeDocument/2006/relationships/hyperlink" Target="http://www.nevo.co.il/case/24140726" TargetMode="External"/><Relationship Id="rId23" Type="http://schemas.openxmlformats.org/officeDocument/2006/relationships/hyperlink" Target="http://www.nevo.co.il/case/21771409" TargetMode="External"/><Relationship Id="rId24" Type="http://schemas.openxmlformats.org/officeDocument/2006/relationships/hyperlink" Target="http://www.nevo.co.il/case/22656725" TargetMode="External"/><Relationship Id="rId25" Type="http://schemas.openxmlformats.org/officeDocument/2006/relationships/hyperlink" Target="http://www.nevo.co.il/case/6095775" TargetMode="External"/><Relationship Id="rId26" Type="http://schemas.openxmlformats.org/officeDocument/2006/relationships/hyperlink" Target="http://www.nevo.co.il/case/20138359" TargetMode="External"/><Relationship Id="rId27" Type="http://schemas.openxmlformats.org/officeDocument/2006/relationships/hyperlink" Target="http://www.nevo.co.il/case/17922225" TargetMode="External"/><Relationship Id="rId28" Type="http://schemas.openxmlformats.org/officeDocument/2006/relationships/hyperlink" Target="http://www.nevo.co.il/law/71553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2020-01-01T14:01:00Z</dcterms:created>
  <dc:creator> </dc:creator>
  <dc:description/>
  <cp:keywords/>
  <dc:language>en-IL</dc:language>
  <cp:lastModifiedBy>yafit</cp:lastModifiedBy>
  <dcterms:modified xsi:type="dcterms:W3CDTF">2020-01-01T14:01:00Z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זידאן;חמזה זידאן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22006503:2;24263578;7791493:3;5887664;6473037;24140726;21771409;22656725;6095775;20138359;17922225</vt:lpwstr>
  </property>
  <property fmtid="{D5CDD505-2E9C-101B-9397-08002B2CF9AE}" pid="9" name="CITY">
    <vt:lpwstr>חי'</vt:lpwstr>
  </property>
  <property fmtid="{D5CDD505-2E9C-101B-9397-08002B2CF9AE}" pid="10" name="DATE">
    <vt:lpwstr>20190416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יחיאל ליפשיץ</vt:lpwstr>
  </property>
  <property fmtid="{D5CDD505-2E9C-101B-9397-08002B2CF9AE}" pid="14" name="LAWLISTTMP1">
    <vt:lpwstr>70301/144.a;144.b;029:2;275</vt:lpwstr>
  </property>
  <property fmtid="{D5CDD505-2E9C-101B-9397-08002B2CF9AE}" pid="15" name="LAWLISTTMP2">
    <vt:lpwstr>71553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15905</vt:lpwstr>
  </property>
  <property fmtid="{D5CDD505-2E9C-101B-9397-08002B2CF9AE}" pid="23" name="NEWPARTB">
    <vt:lpwstr>09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390020190416</vt:lpwstr>
  </property>
  <property fmtid="{D5CDD505-2E9C-101B-9397-08002B2CF9AE}" pid="35" name="TYPE_N_DATE">
    <vt:lpwstr>39020190416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