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</w:rPr>
              <w:t>15943-12-16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חמאם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7589"/>
      </w:tblGrid>
      <w:tr>
        <w:trPr>
          <w:trHeight w:val="29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לוי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7589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7589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גאזי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חמאם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402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cs="FrankRuehl" w:ascii="FrankRuehl" w:hAnsi="FrankRuehl"/>
          </w:rPr>
          <w:t>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ascii="FrankRuehl" w:hAnsi="FrankRuehl" w:cs="FrankRuehl"/>
            <w:rtl w:val="true"/>
          </w:rPr>
          <w:t>שבפרק ו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חמאם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bookmarkStart w:id="7" w:name="ABSTRACT_END"/>
      <w:bookmarkEnd w:id="7"/>
      <w:r>
        <w:rPr>
          <w:rFonts w:ascii="Calibri" w:hAnsi="Calibri" w:cs="Calibri"/>
          <w:rtl w:val="true"/>
        </w:rPr>
        <w:t>ואלה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עובדותיו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ההרשעה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זהרה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סארי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בנוב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סארי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קריסטינה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הגטאות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בעכו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ונכסים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41,400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סארי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כרטיס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כרטיסי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כספומט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כרטיס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תעודת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זהות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קוראן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קפוצ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וחם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צוואר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זיהויו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מהמדרכה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מאחוריה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מכתפה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ומשכוׂ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בכוח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נקרעה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הגב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סארי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ארצה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בתה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התקרבה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וניסתה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למנוע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ליטול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נפלה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בריצה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מלבושו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נטלוׂ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סארי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שפשופים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שפשופים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43,000</w:t>
      </w:r>
      <w:r>
        <w:rPr>
          <w:rFonts w:cs="Times New Roman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תדפיס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התמצית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20.12.10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שיאונה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לספסל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עכו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עגורן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הנדסה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וגובה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למניעיו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המחשבתיים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יומיומית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הטלטלה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שנלוותה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טשטוש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היומיומית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לתגובות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אגרסיביות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ומלחיצים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והסתבכות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בינוני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התנהגות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פורצת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בעתיד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התלבטות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המליץ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חלופות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בקהילה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שילובו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בתוכניות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הטיפול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הקיימות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קל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מבוגרת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שתקיפתה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להנביט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הבנתו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וספונטני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התעסוקתית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להסתבכותו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הזעזוע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בדברו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האחרון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והתנצלות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בקרבנותיו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מניעיו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בעיניי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חוב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נגבה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ביתר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מקרובת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חייב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חייב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כמצוות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סימן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</w:hyperlink>
      <w:r>
        <w:rPr>
          <w:rFonts w:cs="Calibri" w:ascii="Calibri" w:hAnsi="Calibri"/>
          <w:rtl w:val="true"/>
        </w:rPr>
        <w:t xml:space="preserve">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שבפרק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אפנה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החברתיים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שנפגעו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הערכתים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בשלווה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הקניין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זניחה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בסיטואציה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ומלחיצה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מבוטל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במזומן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5265/12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27.12.2012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1088" w:end="1843"/>
        <w:jc w:val="both"/>
        <w:rPr/>
      </w:pPr>
      <w:r>
        <w:rPr>
          <w:rFonts w:cs="FrankRuehl" w:ascii="Arial TUR;Arial Unicode MS" w:hAnsi="Arial TUR;Arial Unicode MS"/>
          <w:spacing w:val="10"/>
          <w:sz w:val="22"/>
          <w:szCs w:val="28"/>
          <w:rtl w:val="true"/>
        </w:rPr>
        <w:t>"</w:t>
      </w:r>
      <w:r>
        <w:rPr>
          <w:rFonts w:ascii="Arial TUR;Arial Unicode MS" w:hAnsi="Arial TUR;Arial Unicode MS" w:cs="Miriam"/>
          <w:spacing w:val="10"/>
          <w:rtl w:val="true"/>
        </w:rPr>
        <w:t>עבירה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זו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אסור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שתקנה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אחיזה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במחוזותינו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ועלינו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לפעול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לעוקרה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היכן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שניתן</w:t>
      </w:r>
      <w:r>
        <w:rPr>
          <w:rFonts w:cs="Miriam" w:ascii="Arial TUR;Arial Unicode MS" w:hAnsi="Arial TUR;Arial Unicode MS"/>
          <w:spacing w:val="10"/>
          <w:rtl w:val="true"/>
        </w:rPr>
        <w:t xml:space="preserve">. </w:t>
      </w:r>
      <w:r>
        <w:rPr>
          <w:rFonts w:ascii="Arial TUR;Arial Unicode MS" w:hAnsi="Arial TUR;Arial Unicode MS" w:cs="Miriam"/>
          <w:spacing w:val="10"/>
          <w:rtl w:val="true"/>
        </w:rPr>
        <w:t>עבירת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השוד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פוגעת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בציבור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הקורבנות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המסוים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במסגרת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האירוע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כמו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גם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בכלל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האוכלוסייה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כאשר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גורמים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עבריינים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מאיימים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שלומה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ורווחתה</w:t>
      </w:r>
      <w:r>
        <w:rPr>
          <w:rFonts w:cs="Miriam" w:ascii="Arial TUR;Arial Unicode MS" w:hAnsi="Arial TUR;Arial Unicode MS"/>
          <w:spacing w:val="10"/>
          <w:rtl w:val="true"/>
        </w:rPr>
        <w:t xml:space="preserve">. </w:t>
      </w:r>
      <w:r>
        <w:rPr>
          <w:rFonts w:ascii="Arial TUR;Arial Unicode MS" w:hAnsi="Arial TUR;Arial Unicode MS" w:cs="Miriam"/>
          <w:spacing w:val="10"/>
          <w:rtl w:val="true"/>
        </w:rPr>
        <w:t>על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בתי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המשפט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להעביר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מסר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מרתיע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לכל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שבוחר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להשיג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רווח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cs="Miriam" w:ascii="Arial TUR;Arial Unicode MS" w:hAnsi="Arial TUR;Arial Unicode MS"/>
          <w:spacing w:val="10"/>
          <w:rtl w:val="true"/>
        </w:rPr>
        <w:t>'</w:t>
      </w:r>
      <w:r>
        <w:rPr>
          <w:rFonts w:ascii="Arial TUR;Arial Unicode MS" w:hAnsi="Arial TUR;Arial Unicode MS" w:cs="Miriam"/>
          <w:spacing w:val="10"/>
          <w:rtl w:val="true"/>
        </w:rPr>
        <w:t>קל</w:t>
      </w:r>
      <w:r>
        <w:rPr>
          <w:rFonts w:cs="Miriam" w:ascii="Arial TUR;Arial Unicode MS" w:hAnsi="Arial TUR;Arial Unicode MS"/>
          <w:spacing w:val="10"/>
          <w:rtl w:val="true"/>
        </w:rPr>
        <w:t xml:space="preserve">' </w:t>
      </w:r>
      <w:r>
        <w:rPr>
          <w:rFonts w:ascii="Arial TUR;Arial Unicode MS" w:hAnsi="Arial TUR;Arial Unicode MS" w:cs="Miriam"/>
          <w:spacing w:val="10"/>
          <w:rtl w:val="true"/>
        </w:rPr>
        <w:t>בדרך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עבריינית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תוך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פגיעה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באנשים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תמימים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הנקרים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בדרכם</w:t>
      </w:r>
      <w:r>
        <w:rPr>
          <w:rFonts w:cs="Miriam" w:ascii="Arial TUR;Arial Unicode MS" w:hAnsi="Arial TUR;Arial Unicode MS"/>
          <w:spacing w:val="10"/>
          <w:rtl w:val="true"/>
        </w:rPr>
        <w:t xml:space="preserve">. </w:t>
      </w:r>
      <w:r>
        <w:rPr>
          <w:rFonts w:ascii="Arial TUR;Arial Unicode MS" w:hAnsi="Arial TUR;Arial Unicode MS" w:cs="Miriam"/>
          <w:spacing w:val="10"/>
          <w:rtl w:val="true"/>
        </w:rPr>
        <w:t>כאמור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בנסיבות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רגילות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הרתעה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זו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צריכה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לכלול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מאסר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בפועל</w:t>
      </w:r>
      <w:r>
        <w:rPr>
          <w:rFonts w:cs="Miriam" w:ascii="Arial TUR;Arial Unicode MS" w:hAnsi="Arial TUR;Arial Unicode MS"/>
          <w:spacing w:val="10"/>
          <w:rtl w:val="true"/>
        </w:rPr>
        <w:t>"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והערכאות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מזערי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4841/13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6.2.14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>:</w:t>
      </w:r>
      <w:r>
        <w:rPr>
          <w:rFonts w:cs="Century" w:ascii="Century" w:hAnsi="Century"/>
          <w:spacing w:val="10"/>
          <w:rtl w:val="true"/>
        </w:rPr>
        <w:t xml:space="preserve"> </w:t>
      </w:r>
    </w:p>
    <w:p>
      <w:pPr>
        <w:pStyle w:val="Normal"/>
        <w:spacing w:lineRule="auto" w:line="276" w:before="0" w:after="160"/>
        <w:ind w:start="1088" w:end="1843"/>
        <w:jc w:val="both"/>
        <w:rPr>
          <w:rFonts w:ascii="Calibri" w:hAnsi="Calibri" w:cs="Calibri"/>
        </w:rPr>
      </w:pPr>
      <w:r>
        <w:rPr>
          <w:rFonts w:cs="FrankRuehl" w:ascii="Arial TUR;Arial Unicode MS" w:hAnsi="Arial TUR;Arial Unicode MS"/>
          <w:spacing w:val="10"/>
          <w:sz w:val="22"/>
          <w:szCs w:val="28"/>
          <w:rtl w:val="true"/>
        </w:rPr>
        <w:t>"</w:t>
      </w:r>
      <w:r>
        <w:rPr>
          <w:rFonts w:ascii="Arial TUR;Arial Unicode MS" w:hAnsi="Arial TUR;Arial Unicode MS" w:cs="Miriam"/>
          <w:spacing w:val="10"/>
          <w:rtl w:val="true"/>
        </w:rPr>
        <w:t>באשר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לקביעת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מתחם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העונש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ההולם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–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כנודע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לובשת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עבירת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השוד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פנים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וצורות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רבות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וקביעת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מתחמי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הענישה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ההולמים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בגינה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מגוונת</w:t>
      </w:r>
      <w:r>
        <w:rPr>
          <w:rFonts w:cs="Miriam" w:ascii="Arial TUR;Arial Unicode MS" w:hAnsi="Arial TUR;Arial Unicode MS"/>
          <w:spacing w:val="10"/>
          <w:rtl w:val="true"/>
        </w:rPr>
        <w:t xml:space="preserve">; </w:t>
      </w:r>
      <w:r>
        <w:rPr>
          <w:rFonts w:ascii="Arial TUR;Arial Unicode MS" w:hAnsi="Arial TUR;Arial Unicode MS" w:cs="Miriam"/>
          <w:spacing w:val="10"/>
          <w:rtl w:val="true"/>
        </w:rPr>
        <w:t>אך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פטור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בלא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כלום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אפשר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cs="Miriam" w:ascii="Arial TUR;Arial Unicode MS" w:hAnsi="Arial TUR;Arial Unicode MS"/>
          <w:spacing w:val="10"/>
          <w:rtl w:val="true"/>
        </w:rPr>
        <w:t>(</w:t>
      </w:r>
      <w:r>
        <w:rPr>
          <w:rFonts w:ascii="Arial TUR;Arial Unicode MS" w:hAnsi="Arial TUR;Arial Unicode MS" w:cs="Miriam"/>
          <w:spacing w:val="10"/>
          <w:rtl w:val="true"/>
        </w:rPr>
        <w:t>בבלי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חולין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כז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</w:t>
      </w:r>
      <w:r>
        <w:rPr>
          <w:rFonts w:cs="Miriam" w:ascii="Arial TUR;Arial Unicode MS" w:hAnsi="Arial TUR;Arial Unicode MS"/>
          <w:spacing w:val="10"/>
          <w:rtl w:val="true"/>
        </w:rPr>
        <w:t>"</w:t>
      </w:r>
      <w:r>
        <w:rPr>
          <w:rFonts w:ascii="Arial TUR;Arial Unicode MS" w:hAnsi="Arial TUR;Arial Unicode MS" w:cs="Miriam"/>
          <w:spacing w:val="10"/>
          <w:rtl w:val="true"/>
        </w:rPr>
        <w:t>ב</w:t>
      </w:r>
      <w:r>
        <w:rPr>
          <w:rFonts w:cs="Miriam" w:ascii="Arial TUR;Arial Unicode MS" w:hAnsi="Arial TUR;Arial Unicode MS"/>
          <w:spacing w:val="10"/>
          <w:rtl w:val="true"/>
        </w:rPr>
        <w:t xml:space="preserve">), </w:t>
      </w:r>
      <w:r>
        <w:rPr>
          <w:rFonts w:ascii="Arial TUR;Arial Unicode MS" w:hAnsi="Arial TUR;Arial Unicode MS" w:cs="Miriam"/>
          <w:spacing w:val="10"/>
          <w:rtl w:val="true"/>
        </w:rPr>
        <w:t>ואת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המסגרת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קבע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כמובן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המחוקק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בקביעת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cs="Miriam" w:ascii="Arial TUR;Arial Unicode MS" w:hAnsi="Arial TUR;Arial Unicode MS"/>
          <w:spacing w:val="10"/>
          <w:rtl w:val="true"/>
        </w:rPr>
        <w:t>'</w:t>
      </w:r>
      <w:r>
        <w:rPr>
          <w:rFonts w:ascii="Arial TUR;Arial Unicode MS" w:hAnsi="Arial TUR;Arial Unicode MS" w:cs="Miriam"/>
          <w:spacing w:val="10"/>
          <w:rtl w:val="true"/>
        </w:rPr>
        <w:t>תג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העונש</w:t>
      </w:r>
      <w:r>
        <w:rPr>
          <w:rFonts w:cs="Miriam" w:ascii="Arial TUR;Arial Unicode MS" w:hAnsi="Arial TUR;Arial Unicode MS"/>
          <w:spacing w:val="10"/>
          <w:rtl w:val="true"/>
        </w:rPr>
        <w:t xml:space="preserve">' </w:t>
      </w:r>
      <w:r>
        <w:rPr>
          <w:rFonts w:ascii="Arial TUR;Arial Unicode MS" w:hAnsi="Arial TUR;Arial Unicode MS" w:cs="Miriam"/>
          <w:spacing w:val="10"/>
          <w:rtl w:val="true"/>
        </w:rPr>
        <w:t>לעבירה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זו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–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אין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זהה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דינה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עבירה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שנעברה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תוך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פגיעה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פיסית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אלימה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לעבירה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שבוצעה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דרך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הפחדה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בלבד</w:t>
      </w:r>
      <w:r>
        <w:rPr>
          <w:rFonts w:cs="Miriam" w:ascii="Century" w:hAnsi="Century"/>
          <w:spacing w:val="10"/>
          <w:rtl w:val="true"/>
        </w:rPr>
        <w:t xml:space="preserve">; </w:t>
      </w:r>
      <w:r>
        <w:rPr>
          <w:rFonts w:ascii="Century" w:hAnsi="Century" w:cs="Miriam"/>
          <w:spacing w:val="10"/>
          <w:rtl w:val="true"/>
        </w:rPr>
        <w:t>אין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זהה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דינה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עבירה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שנעברה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לאחר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תכנון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והכנה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מוקדמים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לעבירה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אקראית</w:t>
      </w:r>
      <w:r>
        <w:rPr>
          <w:rFonts w:cs="Miriam" w:ascii="Century" w:hAnsi="Century"/>
          <w:spacing w:val="10"/>
          <w:rtl w:val="true"/>
        </w:rPr>
        <w:t>-</w:t>
      </w:r>
      <w:r>
        <w:rPr>
          <w:rFonts w:ascii="Century" w:hAnsi="Century" w:cs="Miriam"/>
          <w:spacing w:val="10"/>
          <w:rtl w:val="true"/>
        </w:rPr>
        <w:t>ספונטנית</w:t>
      </w:r>
      <w:r>
        <w:rPr>
          <w:rFonts w:cs="Miriam" w:ascii="Century" w:hAnsi="Century"/>
          <w:spacing w:val="10"/>
          <w:rtl w:val="true"/>
        </w:rPr>
        <w:t xml:space="preserve">; </w:t>
      </w:r>
      <w:r>
        <w:rPr>
          <w:rFonts w:ascii="Century" w:hAnsi="Century" w:cs="Miriam"/>
          <w:spacing w:val="10"/>
          <w:rtl w:val="true"/>
        </w:rPr>
        <w:t>אין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זהה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דינה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עבירה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שנעברה</w:t>
      </w:r>
      <w:r>
        <w:rPr>
          <w:rFonts w:ascii="Century" w:hAnsi="Century" w:eastAsia="Century" w:cs="Century"/>
          <w:spacing w:val="10"/>
          <w:rtl w:val="true"/>
        </w:rPr>
        <w:t xml:space="preserve">  </w:t>
      </w:r>
      <w:r>
        <w:rPr>
          <w:rFonts w:ascii="Century" w:hAnsi="Century" w:cs="Miriam"/>
          <w:spacing w:val="10"/>
          <w:rtl w:val="true"/>
        </w:rPr>
        <w:t>בחבורה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לדינה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עבירת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אדם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יחיד</w:t>
      </w:r>
      <w:r>
        <w:rPr>
          <w:rFonts w:cs="Miriam" w:ascii="Century" w:hAnsi="Century"/>
          <w:spacing w:val="10"/>
          <w:rtl w:val="true"/>
        </w:rPr>
        <w:t xml:space="preserve">; </w:t>
      </w:r>
      <w:r>
        <w:rPr>
          <w:rFonts w:ascii="Century" w:hAnsi="Century" w:cs="Miriam"/>
          <w:spacing w:val="10"/>
          <w:rtl w:val="true"/>
        </w:rPr>
        <w:t>אין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זהה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דינה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עבירה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שנעשתה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תוך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שימוש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בנשק</w:t>
      </w:r>
      <w:r>
        <w:rPr>
          <w:rFonts w:cs="Miriam" w:ascii="Century" w:hAnsi="Century"/>
          <w:spacing w:val="10"/>
          <w:rtl w:val="true"/>
        </w:rPr>
        <w:t xml:space="preserve">, </w:t>
      </w:r>
      <w:r>
        <w:rPr>
          <w:rFonts w:ascii="Century" w:hAnsi="Century" w:cs="Miriam"/>
          <w:spacing w:val="10"/>
          <w:rtl w:val="true"/>
        </w:rPr>
        <w:t>חם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או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קר</w:t>
      </w:r>
      <w:r>
        <w:rPr>
          <w:rFonts w:cs="Miriam" w:ascii="Century" w:hAnsi="Century"/>
          <w:spacing w:val="10"/>
          <w:rtl w:val="true"/>
        </w:rPr>
        <w:t xml:space="preserve">, </w:t>
      </w:r>
      <w:r>
        <w:rPr>
          <w:rFonts w:ascii="Century" w:hAnsi="Century" w:cs="Miriam"/>
          <w:spacing w:val="10"/>
          <w:rtl w:val="true"/>
        </w:rPr>
        <w:t>לעבירה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שנעשתה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ללא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שימוש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בנשק</w:t>
      </w:r>
      <w:r>
        <w:rPr>
          <w:rFonts w:cs="Miriam" w:ascii="Century" w:hAnsi="Century"/>
          <w:spacing w:val="10"/>
          <w:rtl w:val="true"/>
        </w:rPr>
        <w:t xml:space="preserve">; </w:t>
      </w:r>
      <w:r>
        <w:rPr>
          <w:rFonts w:ascii="Century" w:hAnsi="Century" w:cs="Miriam"/>
          <w:spacing w:val="10"/>
          <w:rtl w:val="true"/>
        </w:rPr>
        <w:t>אין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זהה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דינה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עבירה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חד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פעמית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למסכת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שיטתית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עבירות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cs="Miriam" w:ascii="Century" w:hAnsi="Century"/>
          <w:spacing w:val="10"/>
          <w:rtl w:val="true"/>
        </w:rPr>
        <w:t>[...]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Century" w:ascii="Century" w:hAnsi="Century"/>
          <w:spacing w:val="10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ובחורה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כשנגרמה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מבוטל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מתאימים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שכתבה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5213/06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יצחק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וינדמו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9.5.07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לפיהם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1088" w:end="1843"/>
        <w:jc w:val="both"/>
        <w:rPr>
          <w:rFonts w:ascii="Calibri" w:hAnsi="Calibri" w:cs="Calibri"/>
        </w:rPr>
      </w:pP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Miriam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עצמה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מופנית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החלש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והקשיש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שהסיכוי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להתנגדותו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שבעתיים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במתלונן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פיזית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בביטחונו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המתלונן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להסתובב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כרצונו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ברחובות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ולצאת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מביתו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חפץ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בכך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לרפא</w:t>
      </w:r>
      <w:r>
        <w:rPr>
          <w:rFonts w:cs="Miriam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entury" w:ascii="Century" w:hAnsi="Century"/>
          <w:spacing w:val="10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35274-02-15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גורשומוב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28.7.15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שעניינה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42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עובדות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לימדו</w:t>
      </w:r>
      <w:r>
        <w:rPr>
          <w:rFonts w:cs="Calibri" w:ascii="Calibri" w:hAnsi="Calibri"/>
          <w:rtl w:val="true"/>
          <w:lang w:eastAsia="he-IL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ילידת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1949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והשתלט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רגישות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כחודש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שחרורו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ובעוד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הפעלה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35274-02-15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23.12.14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גלעד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שעניינה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4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עובדות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לימדו</w:t>
      </w:r>
      <w:r>
        <w:rPr>
          <w:rFonts w:cs="Calibri" w:ascii="Calibri" w:hAnsi="Calibri"/>
          <w:rtl w:val="true"/>
          <w:lang w:eastAsia="he-IL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לשחררו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מאחיזתה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בחוזקה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משגבר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כרטיס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ופריטים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hyperlink r:id="rId46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970/15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והפחיתם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5859/15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16.3.16</w:t>
      </w:r>
      <w:r>
        <w:rPr>
          <w:rFonts w:cs="Calibri" w:ascii="Calibri" w:hAnsi="Calibri"/>
          <w:rtl w:val="true"/>
        </w:rPr>
        <w:t xml:space="preserve"> )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הוטל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פי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הודאתו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שעניינה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4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49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העונשין</w:t>
        </w:r>
      </w:hyperlink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עובדות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לימדו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בחוזקה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מאחיזתו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אוחזת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כאמור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קיבל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הערעור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והעמיד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30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לרבות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תנאי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המופעל</w:t>
      </w:r>
      <w:r>
        <w:rPr>
          <w:rFonts w:cs="Calibri" w:ascii="Calibri" w:hAnsi="Calibri"/>
          <w:rtl w:val="true"/>
          <w:lang w:eastAsia="he-IL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50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10455-06-14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אלמנך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25.10.15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שפירא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שעניינה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52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עובדות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לימדו</w:t>
      </w:r>
      <w:r>
        <w:rPr>
          <w:rFonts w:cs="Calibri" w:ascii="Calibri" w:hAnsi="Calibri"/>
          <w:rtl w:val="true"/>
          <w:lang w:eastAsia="he-IL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אחיזתה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לחטוף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שתלש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מציפורני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כרטיסי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85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אייפוד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מפתחות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לפלאפון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(</w:t>
      </w:r>
      <w:hyperlink r:id="rId5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</w:t>
      </w:r>
      <w:hyperlink r:id="rId54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העונשין</w:t>
        </w:r>
      </w:hyperlink>
      <w:r>
        <w:rPr>
          <w:rFonts w:cs="Calibri" w:ascii="Calibri" w:hAnsi="Calibri"/>
          <w:b/>
          <w:bCs/>
          <w:u w:val="single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שתיהן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עדיפותו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קנס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ופיצויים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שאינן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6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ובתכניות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שטווה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יגרור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לארוסתו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הממתינה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להתנצל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ולפצותן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המתאים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ולניסיונותיו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מעצרו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402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</w:t>
      </w:r>
      <w:hyperlink r:id="rId58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הזולת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1.1.18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9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0"/>
      <w:footerReference w:type="default" r:id="rId61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15943-12-16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גאזי אבו חמאם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402" TargetMode="External"/><Relationship Id="rId8" Type="http://schemas.openxmlformats.org/officeDocument/2006/relationships/hyperlink" Target="http://www.nevo.co.il/law/70301/402.a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a1S" TargetMode="External"/><Relationship Id="rId12" Type="http://schemas.openxmlformats.org/officeDocument/2006/relationships/hyperlink" Target="http://www.nevo.co.il/law/70301/fC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b" TargetMode="External"/><Relationship Id="rId15" Type="http://schemas.openxmlformats.org/officeDocument/2006/relationships/hyperlink" Target="http://www.nevo.co.il/law/70301/40c.a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402" TargetMode="External"/><Relationship Id="rId19" Type="http://schemas.openxmlformats.org/officeDocument/2006/relationships/hyperlink" Target="http://www.nevo.co.il/law/70301/402.a" TargetMode="External"/><Relationship Id="rId20" Type="http://schemas.openxmlformats.org/officeDocument/2006/relationships/hyperlink" Target="http://www.nevo.co.il/law/70301/40ja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/a1S" TargetMode="External"/><Relationship Id="rId23" Type="http://schemas.openxmlformats.org/officeDocument/2006/relationships/hyperlink" Target="http://www.nevo.co.il/law/70301/fC" TargetMode="External"/><Relationship Id="rId24" Type="http://schemas.openxmlformats.org/officeDocument/2006/relationships/hyperlink" Target="http://www.nevo.co.il/law/70301/402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a1S" TargetMode="External"/><Relationship Id="rId30" Type="http://schemas.openxmlformats.org/officeDocument/2006/relationships/hyperlink" Target="http://www.nevo.co.il/law/70301/f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b" TargetMode="External"/><Relationship Id="rId33" Type="http://schemas.openxmlformats.org/officeDocument/2006/relationships/hyperlink" Target="http://www.nevo.co.il/law/70301/40jc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c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589995" TargetMode="External"/><Relationship Id="rId38" Type="http://schemas.openxmlformats.org/officeDocument/2006/relationships/hyperlink" Target="http://www.nevo.co.il/case/7773349" TargetMode="External"/><Relationship Id="rId39" Type="http://schemas.openxmlformats.org/officeDocument/2006/relationships/hyperlink" Target="http://www.nevo.co.il/case/5999999" TargetMode="External"/><Relationship Id="rId40" Type="http://schemas.openxmlformats.org/officeDocument/2006/relationships/hyperlink" Target="http://www.nevo.co.il/case/20036029" TargetMode="External"/><Relationship Id="rId41" Type="http://schemas.openxmlformats.org/officeDocument/2006/relationships/hyperlink" Target="http://www.nevo.co.il/law/70301/402.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0036029" TargetMode="External"/><Relationship Id="rId44" Type="http://schemas.openxmlformats.org/officeDocument/2006/relationships/hyperlink" Target="http://www.nevo.co.il/law/70301/402.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20012947" TargetMode="External"/><Relationship Id="rId47" Type="http://schemas.openxmlformats.org/officeDocument/2006/relationships/hyperlink" Target="http://www.nevo.co.il/case/21037796" TargetMode="External"/><Relationship Id="rId48" Type="http://schemas.openxmlformats.org/officeDocument/2006/relationships/hyperlink" Target="http://www.nevo.co.il/law/70301/402.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16980617" TargetMode="External"/><Relationship Id="rId51" Type="http://schemas.openxmlformats.org/officeDocument/2006/relationships/hyperlink" Target="http://www.nevo.co.il/law/70301/402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i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0j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02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2018-04-03T11:39:00Z</dcterms:created>
  <dc:creator> </dc:creator>
  <dc:description/>
  <cp:keywords/>
  <dc:language>en-IL</dc:language>
  <cp:lastModifiedBy>run</cp:lastModifiedBy>
  <dcterms:modified xsi:type="dcterms:W3CDTF">2018-04-03T11:39:00Z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גאזי אבו חמאם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5589995;7773349;5999999;20036029:2;20012947;21037796;16980617</vt:lpwstr>
  </property>
  <property fmtid="{D5CDD505-2E9C-101B-9397-08002B2CF9AE}" pid="9" name="CITY">
    <vt:lpwstr>חי'</vt:lpwstr>
  </property>
  <property fmtid="{D5CDD505-2E9C-101B-9397-08002B2CF9AE}" pid="10" name="DATE">
    <vt:lpwstr>20170420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70301/040b;040c.a;040i;144.a:2;402;402.a:5;40ja;40jc;a1S;fC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15943</vt:lpwstr>
  </property>
  <property fmtid="{D5CDD505-2E9C-101B-9397-08002B2CF9AE}" pid="22" name="NEWPARTB">
    <vt:lpwstr>12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390020170420</vt:lpwstr>
  </property>
  <property fmtid="{D5CDD505-2E9C-101B-9397-08002B2CF9AE}" pid="34" name="TYPE_N_DATE">
    <vt:lpwstr>39020170420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