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38"/>
        <w:gridCol w:w="447"/>
        <w:gridCol w:w="1055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בחיפה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73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1596-08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חיפה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רטצר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4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72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2008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חיפה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מאיר רטצר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שפירו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בעצמו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באמצעות הליווי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קוסטא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מהסניגוריה הציבורית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tl w:val="true"/>
        </w:rPr>
        <w:t xml:space="preserve">בכתב האישום נטען כי ביום </w:t>
      </w:r>
      <w:r>
        <w:rPr/>
        <w:t>08.05.08</w:t>
      </w:r>
      <w:r>
        <w:rPr>
          <w:rtl w:val="true"/>
        </w:rPr>
        <w:t xml:space="preserve"> </w:t>
      </w:r>
      <w:r>
        <w:rPr>
          <w:rtl w:val="true"/>
        </w:rPr>
        <w:t xml:space="preserve">סמוך לשעה </w:t>
      </w:r>
      <w:r>
        <w:rPr/>
        <w:t>10.00</w:t>
      </w:r>
      <w:r>
        <w:rPr>
          <w:rtl w:val="true"/>
        </w:rPr>
        <w:t xml:space="preserve">, </w:t>
      </w:r>
      <w:r>
        <w:rPr>
          <w:rtl w:val="true"/>
        </w:rPr>
        <w:t>בבנין מגוריו של הנאשם ברח</w:t>
      </w:r>
      <w:r>
        <w:rPr>
          <w:rtl w:val="true"/>
        </w:rPr>
        <w:t xml:space="preserve">' </w:t>
      </w:r>
      <w:r>
        <w:rPr>
          <w:rtl w:val="true"/>
        </w:rPr>
        <w:t xml:space="preserve">ערד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 xml:space="preserve">נתגלע ויכוח בין הנאשם לשכנו יוסף מזרחי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בנוגע לכלבו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 הויכוח איים הנאשם בפגיעה שלא כדין במתלונן בכך שאמר לן שיגמור איתו חשבון</w:t>
      </w:r>
      <w:r>
        <w:rPr>
          <w:rtl w:val="true"/>
        </w:rPr>
        <w:t xml:space="preserve">, </w:t>
      </w:r>
      <w:r>
        <w:rPr>
          <w:rtl w:val="true"/>
        </w:rPr>
        <w:t>וזאת עשה בכוונה להפחידו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תקף הנאשם את המתלונן באופן שדחפו וזאת שלא כדין וללא הסכמתו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נכנס הנאשם לדירתו</w:t>
      </w:r>
      <w:r>
        <w:rPr>
          <w:rtl w:val="true"/>
        </w:rPr>
        <w:t xml:space="preserve">, </w:t>
      </w:r>
      <w:r>
        <w:rPr>
          <w:rtl w:val="true"/>
        </w:rPr>
        <w:t>לקח סכין</w:t>
      </w:r>
      <w:r>
        <w:rPr>
          <w:rtl w:val="true"/>
        </w:rPr>
        <w:t xml:space="preserve">, </w:t>
      </w:r>
      <w:r>
        <w:rPr>
          <w:rtl w:val="true"/>
        </w:rPr>
        <w:t>יצא לעבר המתלונן שעמד באותה העת במדרגות הבנין ותקף אותו</w:t>
      </w:r>
      <w:r>
        <w:rPr>
          <w:rtl w:val="true"/>
        </w:rPr>
        <w:t xml:space="preserve">, </w:t>
      </w:r>
      <w:r>
        <w:rPr>
          <w:rtl w:val="true"/>
        </w:rPr>
        <w:t>שלא כדין וללא הסכמתו</w:t>
      </w:r>
      <w:r>
        <w:rPr>
          <w:rtl w:val="true"/>
        </w:rPr>
        <w:t xml:space="preserve">, </w:t>
      </w:r>
      <w:r>
        <w:rPr>
          <w:rtl w:val="true"/>
        </w:rPr>
        <w:t>באופן שדחפו והפילו לרצפה ואז פצעו באופן שדקר אותו מספר דקירות באמצעות הסכין בגבו</w:t>
      </w:r>
      <w:r>
        <w:rPr>
          <w:rtl w:val="true"/>
        </w:rPr>
        <w:t xml:space="preserve">, </w:t>
      </w:r>
      <w:r>
        <w:rPr>
          <w:rtl w:val="true"/>
        </w:rPr>
        <w:t>בכתפו ובמותן ימין שלו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כתוצאה מכך</w:t>
      </w:r>
      <w:r>
        <w:rPr>
          <w:rtl w:val="true"/>
        </w:rPr>
        <w:t xml:space="preserve">, </w:t>
      </w:r>
      <w:r>
        <w:rPr>
          <w:rtl w:val="true"/>
        </w:rPr>
        <w:t>נגרמו למתלונן פצעי דקירה וחתכים בגב עליון ותחתון מימין</w:t>
      </w:r>
      <w:r>
        <w:rPr>
          <w:rtl w:val="true"/>
        </w:rPr>
        <w:t xml:space="preserve">, </w:t>
      </w:r>
      <w:r>
        <w:rPr>
          <w:rtl w:val="true"/>
        </w:rPr>
        <w:t>סימני חבלה טריים</w:t>
      </w:r>
      <w:r>
        <w:rPr>
          <w:rtl w:val="true"/>
        </w:rPr>
        <w:t xml:space="preserve">, </w:t>
      </w:r>
      <w:r>
        <w:rPr>
          <w:rtl w:val="true"/>
        </w:rPr>
        <w:t>המטומות תת עוריות ללא נפיחות ודליות ובצקות בגב ובמותן</w:t>
      </w:r>
      <w:r>
        <w:rPr>
          <w:rtl w:val="true"/>
        </w:rPr>
        <w:t xml:space="preserve">. </w:t>
      </w:r>
      <w:r>
        <w:rPr>
          <w:rtl w:val="true"/>
        </w:rPr>
        <w:t xml:space="preserve">המתלונן אף אושפז למשך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ימים בבית החולים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העבירות שיוחסו לנאשם בגין מסכת עובדתית זו הינן חבלה או פציעה כשהעבריין מזוין</w:t>
      </w:r>
      <w:r>
        <w:rPr>
          <w:rtl w:val="true"/>
        </w:rPr>
        <w:t xml:space="preserve">, </w:t>
      </w:r>
      <w:r>
        <w:rPr>
          <w:rtl w:val="true"/>
        </w:rPr>
        <w:t>תקיפה סתם ואיומים</w:t>
      </w:r>
      <w:r>
        <w:rPr>
          <w:rtl w:val="true"/>
        </w:rPr>
        <w:t xml:space="preserve">, </w:t>
      </w:r>
      <w:r>
        <w:rPr>
          <w:rtl w:val="true"/>
        </w:rPr>
        <w:t xml:space="preserve">עבירות לפי סעיפים </w:t>
      </w:r>
      <w:r>
        <w:rPr/>
        <w:t>334+335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)+ </w:t>
      </w:r>
      <w:r>
        <w:rPr/>
        <w:t>379+192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בישיבת בית המשפט מיום </w:t>
      </w:r>
      <w:r>
        <w:rPr/>
        <w:t>17.06.08</w:t>
      </w:r>
      <w:r>
        <w:rPr>
          <w:rtl w:val="true"/>
        </w:rPr>
        <w:t xml:space="preserve"> </w:t>
      </w:r>
      <w:r>
        <w:rPr>
          <w:rtl w:val="true"/>
        </w:rPr>
        <w:t>כפר הנאשם בעבירות המיוחסות 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הודה כי הוא אכן פגע במתלונן בסכין</w:t>
      </w:r>
      <w:r>
        <w:rPr>
          <w:rtl w:val="true"/>
        </w:rPr>
        <w:t xml:space="preserve">, </w:t>
      </w:r>
      <w:r>
        <w:rPr>
          <w:rtl w:val="true"/>
        </w:rPr>
        <w:t>אך לא הודה בפציעות</w:t>
      </w:r>
      <w:r>
        <w:rPr>
          <w:rtl w:val="true"/>
        </w:rPr>
        <w:t xml:space="preserve">. </w:t>
      </w:r>
      <w:r>
        <w:rPr>
          <w:rtl w:val="true"/>
        </w:rPr>
        <w:t>כן טען כי פעל מתוך הגנה 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טען כי קיים ספק בנוגע לאחריותו הפלילית וזאת על רקע פסיכיאטרי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בישיבת בית המשפט מיום </w:t>
      </w:r>
      <w:r>
        <w:rPr/>
        <w:t>12.10.08</w:t>
      </w:r>
      <w:r>
        <w:rPr>
          <w:rtl w:val="true"/>
        </w:rPr>
        <w:t xml:space="preserve">, </w:t>
      </w:r>
      <w:r>
        <w:rPr>
          <w:rtl w:val="true"/>
        </w:rPr>
        <w:t xml:space="preserve">לאחר שהחלה שמיעת הראיות בתיק ומרבית עדי התביעה כבר נשמעו </w:t>
      </w:r>
      <w:r>
        <w:rPr>
          <w:rtl w:val="true"/>
        </w:rPr>
        <w:t xml:space="preserve">- </w:t>
      </w:r>
      <w:r>
        <w:rPr>
          <w:rtl w:val="true"/>
        </w:rPr>
        <w:t>חזר בו הנאשם מכפירתו והודה בעובדות כתב האישום ובעבירות שיוחסו לו 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בישיבת הטיעונים לעונש מיום </w:t>
      </w:r>
      <w:r>
        <w:rPr/>
        <w:t>20.11.08</w:t>
      </w:r>
      <w:r>
        <w:rPr>
          <w:rtl w:val="true"/>
        </w:rPr>
        <w:t xml:space="preserve">, </w:t>
      </w:r>
      <w:r>
        <w:rPr>
          <w:rtl w:val="true"/>
        </w:rPr>
        <w:t>הגישה ב</w:t>
      </w:r>
      <w:r>
        <w:rPr>
          <w:rtl w:val="true"/>
        </w:rPr>
        <w:t>"</w:t>
      </w:r>
      <w:r>
        <w:rPr>
          <w:rtl w:val="true"/>
        </w:rPr>
        <w:t>כ התביעה את גליון הרשעותיו הקודמות של הנאשם ואת פלט המאסרים שלו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 העידה לעניין העונש את המתלונן</w:t>
      </w:r>
      <w:r>
        <w:rPr>
          <w:rtl w:val="true"/>
        </w:rPr>
        <w:t xml:space="preserve">, </w:t>
      </w:r>
      <w:r>
        <w:rPr>
          <w:rtl w:val="true"/>
        </w:rPr>
        <w:t>שתיאר את נזקיו הכספיים</w:t>
      </w:r>
      <w:r>
        <w:rPr>
          <w:rtl w:val="true"/>
        </w:rPr>
        <w:t xml:space="preserve">, </w:t>
      </w:r>
      <w:r>
        <w:rPr>
          <w:rtl w:val="true"/>
        </w:rPr>
        <w:t>מהם תשלום לאמבולנס שהוזמן לאירוע ואשר לא הוחזר לו וכן הפסד ימי עבודה במשך כחודשיים</w:t>
      </w:r>
      <w:r>
        <w:rPr>
          <w:rtl w:val="true"/>
        </w:rPr>
        <w:t xml:space="preserve">, </w:t>
      </w:r>
      <w:r>
        <w:rPr>
          <w:rtl w:val="true"/>
        </w:rPr>
        <w:t>אשר לא שולמו לו על ידי הביטוח הלאומי ואשר נגרמו לו בגין מצבו הרפואי לאחר האירוע</w:t>
      </w:r>
      <w:r>
        <w:rPr>
          <w:rtl w:val="true"/>
        </w:rPr>
        <w:t xml:space="preserve">. </w:t>
      </w:r>
      <w:r>
        <w:rPr>
          <w:rtl w:val="true"/>
        </w:rPr>
        <w:t>המתלונן ביקש כי הנאשם יפצה אותו בגין נזקיו 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בטיעוניה לעונש</w:t>
      </w:r>
      <w:r>
        <w:rPr>
          <w:rtl w:val="true"/>
        </w:rPr>
        <w:t xml:space="preserve">, </w:t>
      </w:r>
      <w:r>
        <w:rPr>
          <w:rtl w:val="true"/>
        </w:rPr>
        <w:t>הדגישה ב</w:t>
      </w:r>
      <w:r>
        <w:rPr>
          <w:rtl w:val="true"/>
        </w:rPr>
        <w:t>"</w:t>
      </w:r>
      <w:r>
        <w:rPr>
          <w:rtl w:val="true"/>
        </w:rPr>
        <w:t>כ התביעה את חומרת המעשים של הנאשם שעשה שימוש בסכין ליישוב סכסוך עם שכנו</w:t>
      </w:r>
      <w:r>
        <w:rPr>
          <w:rtl w:val="true"/>
        </w:rPr>
        <w:t xml:space="preserve">, </w:t>
      </w:r>
      <w:r>
        <w:rPr>
          <w:rtl w:val="true"/>
        </w:rPr>
        <w:t>איים עליו ותקפו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ציינה כי השימוש בסכין כאמצעי לישוב סכסוכים הולך ופושט בחברה ויש למגרו באמצעות ענישה הולמת ומרתיעה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הפנתה לעברו הפלילי הקודם של הנאשם</w:t>
      </w:r>
      <w:r>
        <w:rPr>
          <w:rtl w:val="true"/>
        </w:rPr>
        <w:t xml:space="preserve">, </w:t>
      </w:r>
      <w:r>
        <w:rPr>
          <w:rtl w:val="true"/>
        </w:rPr>
        <w:t>ולנזקים הכספיים שנגרמו 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התובעת עתרה להטיל על הנאשם עונש של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ופיצוי משמעותי 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טען ב</w:t>
      </w:r>
      <w:r>
        <w:rPr>
          <w:rtl w:val="true"/>
        </w:rPr>
        <w:t>"</w:t>
      </w:r>
      <w:r>
        <w:rPr>
          <w:rtl w:val="true"/>
        </w:rPr>
        <w:t>כ הנאשם כי יש לבחון את האירועים נשוא תיק זה בשונה ממקרים אחרים של פציעה בסכין</w:t>
      </w:r>
      <w:r>
        <w:rPr>
          <w:rtl w:val="true"/>
        </w:rPr>
        <w:t xml:space="preserve">, </w:t>
      </w:r>
      <w:r>
        <w:rPr>
          <w:rtl w:val="true"/>
        </w:rPr>
        <w:t>לאור נסיבותיו המיוחדות של הנאשם ונסיבות המקרה</w:t>
      </w:r>
      <w:r>
        <w:rPr>
          <w:rtl w:val="true"/>
        </w:rPr>
        <w:t xml:space="preserve">, </w:t>
      </w:r>
      <w:r>
        <w:rPr>
          <w:rtl w:val="true"/>
        </w:rPr>
        <w:t>אף הן מיוחדות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הגיש לבית המשפט תעודות רפואיות 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ונ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שנערכו ע</w:t>
      </w:r>
      <w:r>
        <w:rPr>
          <w:rtl w:val="true"/>
        </w:rPr>
        <w:t>"</w:t>
      </w:r>
      <w:r>
        <w:rPr>
          <w:rtl w:val="true"/>
        </w:rPr>
        <w:t>י פסיכיאטרים</w:t>
      </w:r>
      <w:r>
        <w:rPr>
          <w:rtl w:val="true"/>
        </w:rPr>
        <w:t xml:space="preserve">, </w:t>
      </w:r>
      <w:r>
        <w:rPr>
          <w:rtl w:val="true"/>
        </w:rPr>
        <w:t>מהן עולה כי הנאשם הינו חולה סכיזופרניה מזה מספר שנים ומטופל תרופתית לסירוגין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 טען כי יש לבחון את הסיטואציה שהתרחשה על רקע מחלתו ומצבו הנפשי של הנאשם</w:t>
      </w:r>
      <w:r>
        <w:rPr>
          <w:rtl w:val="true"/>
        </w:rPr>
        <w:t xml:space="preserve">, </w:t>
      </w:r>
      <w:r>
        <w:rPr>
          <w:rtl w:val="true"/>
        </w:rPr>
        <w:t>כאשר לאירוע קדמה פרובוקציה מצד המתלונן</w:t>
      </w:r>
      <w:r>
        <w:rPr>
          <w:rtl w:val="true"/>
        </w:rPr>
        <w:t xml:space="preserve">, </w:t>
      </w:r>
      <w:r>
        <w:rPr>
          <w:rtl w:val="true"/>
        </w:rPr>
        <w:t>שאמר לנאשם כי בעט בכלבו והנאשם שמע את כלבו מיילל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ציין עוד את הודאתו של הנאשם</w:t>
      </w:r>
      <w:r>
        <w:rPr>
          <w:rtl w:val="true"/>
        </w:rPr>
        <w:t xml:space="preserve">, </w:t>
      </w:r>
      <w:r>
        <w:rPr>
          <w:rtl w:val="true"/>
        </w:rPr>
        <w:t>עקב הבנתו כי העובדות שנשמעו במהלך ההוכחות מהוות עבירה</w:t>
      </w:r>
      <w:r>
        <w:rPr>
          <w:rtl w:val="true"/>
        </w:rPr>
        <w:t xml:space="preserve">, </w:t>
      </w:r>
      <w:r>
        <w:rPr>
          <w:rtl w:val="true"/>
        </w:rPr>
        <w:t>וזאת גם אם גרסתו תתקבל</w:t>
      </w:r>
      <w:r>
        <w:rPr>
          <w:rtl w:val="true"/>
        </w:rPr>
        <w:t xml:space="preserve">,  </w:t>
      </w:r>
      <w:r>
        <w:rPr>
          <w:rtl w:val="true"/>
        </w:rPr>
        <w:t xml:space="preserve">ואת התקופה הארוכה בה שוהה הנאשם במעצר מאז יום </w:t>
      </w:r>
      <w:r>
        <w:rPr/>
        <w:t>8.05.08</w:t>
      </w:r>
      <w:r>
        <w:rPr>
          <w:rtl w:val="true"/>
        </w:rPr>
        <w:t xml:space="preserve"> </w:t>
      </w:r>
      <w:r>
        <w:rPr>
          <w:rtl w:val="true"/>
        </w:rPr>
        <w:t>וביקש להקל בדינו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 לנזקיו של המתלונן</w:t>
      </w:r>
      <w:r>
        <w:rPr>
          <w:rtl w:val="true"/>
        </w:rPr>
        <w:t xml:space="preserve">, </w:t>
      </w:r>
      <w:r>
        <w:rPr>
          <w:rtl w:val="true"/>
        </w:rPr>
        <w:t>טען ב</w:t>
      </w:r>
      <w:r>
        <w:rPr>
          <w:rtl w:val="true"/>
        </w:rPr>
        <w:t>"</w:t>
      </w:r>
      <w:r>
        <w:rPr>
          <w:rtl w:val="true"/>
        </w:rPr>
        <w:t>כ הנאשם כי מדובר בנזקים הניתנים לשיפוי במסגרת חברותו של המתלונן בקופת חולים וכי הנאשם עצמו הינו חסר יכולת כלכלית ומתקיים מקצבת ביטוח לאומי בשל נכותו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מעשי העבירה של הנאשם הינם חמורים</w:t>
      </w:r>
      <w:r>
        <w:rPr>
          <w:rtl w:val="true"/>
        </w:rPr>
        <w:t xml:space="preserve">, </w:t>
      </w:r>
      <w:r>
        <w:rPr>
          <w:rtl w:val="true"/>
        </w:rPr>
        <w:t>כאשר במהלך ויכוח הנוגע לכלבו</w:t>
      </w:r>
      <w:r>
        <w:rPr>
          <w:rtl w:val="true"/>
        </w:rPr>
        <w:t xml:space="preserve">, </w:t>
      </w:r>
      <w:r>
        <w:rPr>
          <w:rtl w:val="true"/>
        </w:rPr>
        <w:t>נקט באלימות קשה שעה שיצא מביתו כשבידו סכין מטבח גדולה ודקר את המתלונן באמצעותה במספר דקירות</w:t>
      </w:r>
      <w:r>
        <w:rPr>
          <w:rtl w:val="true"/>
        </w:rPr>
        <w:t xml:space="preserve">, </w:t>
      </w:r>
      <w:r>
        <w:rPr>
          <w:rtl w:val="true"/>
        </w:rPr>
        <w:t>שגרמו לו לפציעות וחבלות של ממש בגופו</w:t>
      </w:r>
      <w:r>
        <w:rPr>
          <w:rtl w:val="true"/>
        </w:rPr>
        <w:t xml:space="preserve">, </w:t>
      </w:r>
      <w:r>
        <w:rPr>
          <w:rtl w:val="true"/>
        </w:rPr>
        <w:t>חבלות שהצריכו טיפול רפואי ואשפוז של מספר 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ספק כי דקירותיו של הנאשם סיכנו באופן ממשי את שלמות גופו וחייו של המתלונן ותוצאות המקרה היו עלולות להיות הרות אסון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חומרת העבירה של מעשה הפציעה בה הורשע הנאשם</w:t>
      </w:r>
      <w:r>
        <w:rPr>
          <w:rtl w:val="true"/>
        </w:rPr>
        <w:t xml:space="preserve">, </w:t>
      </w:r>
      <w:r>
        <w:rPr>
          <w:rtl w:val="true"/>
        </w:rPr>
        <w:t xml:space="preserve">נובעת אף מעצם קיומה של תופעת </w:t>
      </w:r>
      <w:r>
        <w:rPr>
          <w:rtl w:val="true"/>
        </w:rPr>
        <w:t>"</w:t>
      </w:r>
      <w:r>
        <w:rPr>
          <w:rtl w:val="true"/>
        </w:rPr>
        <w:t>תת תרבות הסכין</w:t>
      </w:r>
      <w:r>
        <w:rPr>
          <w:rtl w:val="true"/>
        </w:rPr>
        <w:t xml:space="preserve">", </w:t>
      </w:r>
      <w:r>
        <w:rPr>
          <w:rtl w:val="true"/>
        </w:rPr>
        <w:t>שקנתה לה אחיזה במקומותינו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לא אחת</w:t>
      </w:r>
      <w:r>
        <w:rPr>
          <w:rtl w:val="true"/>
        </w:rPr>
        <w:t xml:space="preserve">, </w:t>
      </w:r>
      <w:r>
        <w:rPr>
          <w:rtl w:val="true"/>
        </w:rPr>
        <w:t>כי ראוי למגר תופעה זו באמצעות ענישה הולמת ומחמירה וכי העונש ההולם הנו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מאסר בפועל</w:t>
      </w:r>
      <w:r>
        <w:rPr>
          <w:rtl w:val="true"/>
        </w:rPr>
        <w:t xml:space="preserve">. 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6689/96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עבד ווזווז נ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  <w:rtl w:val="true"/>
          </w:rPr>
          <w:t>מדינת 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 נ</w:t>
        </w:r>
      </w:hyperlink>
      <w:r>
        <w:rPr>
          <w:rtl w:val="true"/>
        </w:rPr>
        <w:t>' (</w:t>
      </w:r>
      <w:r>
        <w:rPr/>
        <w:t>4</w:t>
      </w:r>
      <w:r>
        <w:rPr>
          <w:rtl w:val="true"/>
        </w:rPr>
        <w:t xml:space="preserve">)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נקבע ע</w:t>
      </w:r>
      <w:r>
        <w:rPr>
          <w:rtl w:val="true"/>
        </w:rPr>
        <w:t>"</w:t>
      </w:r>
      <w:r>
        <w:rPr>
          <w:rtl w:val="true"/>
        </w:rPr>
        <w:t>י כב</w:t>
      </w:r>
      <w:r>
        <w:rPr>
          <w:rtl w:val="true"/>
        </w:rPr>
        <w:t xml:space="preserve">' </w:t>
      </w:r>
      <w:r>
        <w:rPr>
          <w:rtl w:val="true"/>
        </w:rPr>
        <w:t>השופט חשין 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בתי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 שונים וחוזרים כי יש לשרש את תת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תרבות הסכין ביישובם של סיכסוכים בין בני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ואם עובר פלוני על לאו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חייב הוא שיישא בעונש הראוי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נעיצת סכין בגופו של הזולת יש לראותה כעבירה חמורה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והעונש הראוי עליה הוא עונש של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 בנסיבות יוצאות דופן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נעיצת סכין בגופו של הזולת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יודע אתה תחילתו של 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אינך יודע סופו של מעשה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ובתי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שומה עליהם לרתום עצמם לשירוש תופעה קשה זו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קביעה זו חזרה והתאשרה בפסקי דין שניתנו לאחרונה על ידי בית המשפט העליון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242/07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ליאוניד אולימבוב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נקבע 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ואכן אין צורך להכביר מלים על כך שסכין קוראת לשולף ולדוקר כשם שפירצה קוראת לגנב</w:t>
      </w:r>
      <w:r>
        <w:rPr>
          <w:b/>
          <w:bCs/>
          <w:rtl w:val="true"/>
        </w:rPr>
        <w:t>; "</w:t>
      </w:r>
      <w:r>
        <w:rPr>
          <w:b/>
          <w:b/>
          <w:bCs/>
          <w:rtl w:val="true"/>
        </w:rPr>
        <w:t>תת תרבות הסכין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 xml:space="preserve">על גילוייה השונים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 xml:space="preserve">מהחזקת סכין ועד לשימוש אלים בה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היא אורח תדיר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 רצוי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בבתי 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 בבית משפט זה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היא כבר גבתה לא מעט חיי 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 כן אין מנוס מענישה מרתיעה לגביה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בכל גילוייה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 לענישה הראויה בעבירות הנדונות</w:t>
      </w:r>
      <w:r>
        <w:rPr>
          <w:rtl w:val="true"/>
        </w:rPr>
        <w:t xml:space="preserve">, </w:t>
      </w:r>
      <w:r>
        <w:rPr>
          <w:rtl w:val="true"/>
        </w:rPr>
        <w:t>נאמר עוד ב</w:t>
      </w: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259/97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בשתאוי סובחי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98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 </w:t>
      </w:r>
      <w:r>
        <w:rPr/>
        <w:t>308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309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אשר לעונש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נוהגם של מיקצת אנשים ליישב חילוקי דעות ביניהם במוטות ברזל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בקרשים ובסכינים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נוהג מגונה הוא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ראוי הוא לתגובה קשה של בתי המשפט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תת תרבות הסכין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 שאמרנו לא 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דינה כי תיעקר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והעושים ייענשו בכל חומרת הדין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יצא הקול מבית המשפט ויידעו הכל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 הנועץ סכין בגופו של הזולת ייסגר בבית האסורים לתקופות שנים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לא לתקופת שבועות ולא לתקופת חודשים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זו הדרך שידענו לביעור הנגע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הדברים האמורים נכונים אף בענייננו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מגליון הרשעותיו הקודמות ופלט המאסרים של הנאשם עולה כי יש לו עבר פלילי בעבירות שונות ואף ריצה עונשי מאסר בעבר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אין לחובתו הרשעות בעבירות אלימות והרשעתו האחרונה הינה משנת </w:t>
      </w:r>
      <w:r>
        <w:rPr/>
        <w:t>1999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הנני מתחשבת לעניין העונש במצבו הרפואי והנפשי של הנאשם</w:t>
      </w:r>
      <w:r>
        <w:rPr>
          <w:rtl w:val="true"/>
        </w:rPr>
        <w:t xml:space="preserve">, </w:t>
      </w:r>
      <w:r>
        <w:rPr>
          <w:rtl w:val="true"/>
        </w:rPr>
        <w:t>שהינו חולה סכיזופרניה</w:t>
      </w:r>
      <w:r>
        <w:rPr>
          <w:rtl w:val="true"/>
        </w:rPr>
        <w:t xml:space="preserve">, </w:t>
      </w:r>
      <w:r>
        <w:rPr>
          <w:rtl w:val="true"/>
        </w:rPr>
        <w:t>כאשר מן המסמכים הרפואיים שהוגשו לבית המשפט עולה כי מחלתו של הנאשם משפיעה על דפוסי התנהגותו</w:t>
      </w:r>
      <w:r>
        <w:rPr>
          <w:rtl w:val="true"/>
        </w:rPr>
        <w:t xml:space="preserve">, </w:t>
      </w:r>
      <w:r>
        <w:rPr>
          <w:rtl w:val="true"/>
        </w:rPr>
        <w:t>על אף הקביעה כי הנאשם כשיר לעמוד לדין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מן התעודה הרפואית נ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אנו למדים כי הנאשם הינו בעל ליקוי באישיות בשל מחלתו וכי שליטתו בדחפיו</w:t>
      </w:r>
      <w:r>
        <w:rPr>
          <w:rtl w:val="true"/>
        </w:rPr>
        <w:t xml:space="preserve">, </w:t>
      </w:r>
      <w:r>
        <w:rPr>
          <w:rtl w:val="true"/>
        </w:rPr>
        <w:t>שיקול דעתו וסף הגירוי שלו נמוכים משל אדם רגיל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ובהתחשב בכל הנתונים שבאו בפני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הנני דנה את הנאשם למאסר לתקופה של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 xml:space="preserve">חודשים מתוכם ירצה הנאשם מאסר בפועל למשך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חודשים והיתרה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התנאי הוא כי הנאשם לא יעבור אחת העבירות עליהן הורשע או כל עבירת אלימות כנגד גופו של אדם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הנני קובעת כי תקופת המאסר בפועל תחושב מיום מעצרו של הנאשם </w:t>
      </w:r>
      <w:r>
        <w:rPr/>
        <w:t>08.05.08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הנני קובעת כי תקופת המאסר על תנאי תחושב מיום שחרורו של הנאשם ממאסרו ואילך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 בנתונים שבאו בפני בית המשפט על נזקיו של המתלונן מחד ועל מצבו הכספי הקשה של הנאשם מאידך</w:t>
      </w:r>
      <w:r>
        <w:rPr>
          <w:rtl w:val="true"/>
        </w:rPr>
        <w:t xml:space="preserve">, </w:t>
      </w:r>
      <w:r>
        <w:rPr>
          <w:rtl w:val="true"/>
        </w:rPr>
        <w:t xml:space="preserve">הנני מחייבת את הנאשם לפצות את המתלונן בסך של </w:t>
      </w:r>
      <w:r>
        <w:rPr/>
        <w:t>3,500</w:t>
      </w:r>
      <w:r>
        <w:rPr>
          <w:rtl w:val="true"/>
        </w:rPr>
        <w:t xml:space="preserve"> ₪, </w:t>
      </w:r>
      <w:r>
        <w:rPr>
          <w:rtl w:val="true"/>
        </w:rPr>
        <w:t>כאשר המתלונן יוכל</w:t>
      </w:r>
      <w:r>
        <w:rPr>
          <w:rtl w:val="true"/>
        </w:rPr>
        <w:t xml:space="preserve">, </w:t>
      </w:r>
      <w:r>
        <w:rPr>
          <w:rtl w:val="true"/>
        </w:rPr>
        <w:t>אם ירצה בכך</w:t>
      </w:r>
      <w:r>
        <w:rPr>
          <w:rtl w:val="true"/>
        </w:rPr>
        <w:t xml:space="preserve">, </w:t>
      </w:r>
      <w:r>
        <w:rPr>
          <w:rtl w:val="true"/>
        </w:rPr>
        <w:t>לתבוע את יתר הנזקים הכספיים להם הוא טוען בהליך אזרחי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והודעה זכות הערעור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כסלו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14/12/2008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</w:rPr>
            </w:pPr>
            <w:r>
              <w:rPr>
                <w:rFonts w:cs="David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רחל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חוזה 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סגנית נשיא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התובע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אבקש צו להשמיד את המוצג</w:t>
      </w:r>
      <w:r>
        <w:rPr>
          <w:rtl w:val="true"/>
        </w:rPr>
        <w:t>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כ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#5#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צו</w:t>
      </w:r>
    </w:p>
    <w:p>
      <w:pPr>
        <w:pStyle w:val="Normal"/>
        <w:spacing w:lineRule="auto" w:line="360"/>
        <w:ind w:end="0"/>
        <w:jc w:val="start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כמבוקש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הנני מורה על השמדת המוצג</w:t>
      </w:r>
      <w:r>
        <w:rPr>
          <w:rtl w:val="true"/>
        </w:rPr>
        <w:t>ים</w:t>
      </w:r>
      <w:r>
        <w:rPr>
          <w:rtl w:val="true"/>
        </w:rPr>
        <w:t xml:space="preserve"> וזאת לאחר תום תקופת הערעור שבתיק זה</w:t>
      </w:r>
      <w:r>
        <w:rPr>
          <w:rtl w:val="true"/>
        </w:rPr>
        <w:t xml:space="preserve">, </w:t>
      </w:r>
      <w:r>
        <w:rPr>
          <w:rtl w:val="true"/>
        </w:rPr>
        <w:t>כאשר לא הוגש ערעור</w:t>
      </w:r>
      <w:r>
        <w:rPr>
          <w:rtl w:val="true"/>
        </w:rPr>
        <w:t xml:space="preserve">.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רחל חוזה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</w:rPr>
            </w:pPr>
            <w:r>
              <w:rPr>
                <w:rFonts w:ascii="David" w:hAnsi="David" w:eastAsia="David"/>
                <w:b/>
                <w:b/>
                <w:bCs/>
                <w:rtl w:val="true"/>
              </w:rPr>
              <w:t>ניתנה והודעה היום י</w:t>
            </w:r>
            <w:r>
              <w:rPr>
                <w:rFonts w:eastAsia="David" w:cs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ז כסלו תשס</w:t>
            </w:r>
            <w:r>
              <w:rPr>
                <w:rFonts w:eastAsia="David" w:cs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ט</w:t>
            </w:r>
            <w:r>
              <w:rPr>
                <w:rFonts w:eastAsia="David" w:cs="David"/>
                <w:b/>
                <w:bCs/>
                <w:rtl w:val="true"/>
              </w:rPr>
              <w:t xml:space="preserve">, </w:t>
            </w:r>
            <w:r>
              <w:rPr>
                <w:rFonts w:eastAsia="David" w:cs="David"/>
                <w:b/>
                <w:bCs/>
              </w:rPr>
              <w:t>14/12/2008</w:t>
            </w:r>
            <w:r>
              <w:rPr>
                <w:rFonts w:eastAsia="David" w:cs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במעמד הנוכחים</w:t>
            </w:r>
            <w:r>
              <w:rPr>
                <w:rFonts w:eastAsia="David" w:cs="David"/>
                <w:b/>
                <w:bCs/>
                <w:rtl w:val="true"/>
              </w:rPr>
              <w:t xml:space="preserve">.  </w:t>
            </w:r>
            <w:r>
              <w:rPr>
                <w:rFonts w:cs="FrankRuehl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רחל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חוזה 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סגנית נשיא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פנינה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ברבי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/Users/liorb/Downloads/study2025-p2/SH-08-1596.doc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1596-08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חיפה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מאיר רטצר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596-08"/>
    <w:docVar w:name="caseId" w:val="5160885"/>
    <w:docVar w:name="deriveClass" w:val="NGCS.Protocol.BL.Client.ProtocolBLClientCriminal"/>
    <w:docVar w:name="firstPageNumber" w:val="29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189463"/>
    <w:docVar w:name="releaseSign" w:val="0"/>
    <w:docVar w:name="sittingDateTime" w:val="14/12/2008 09:00     "/>
    <w:docVar w:name="sittingId" w:val="12234597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Style11">
    <w:name w:val="גופן ברירת המחדל של פיסקה"/>
    <w:qFormat/>
    <w:rPr/>
  </w:style>
  <w:style w:type="character" w:styleId="Style12">
    <w:name w:val="הפנייה להערה"/>
    <w:basedOn w:val="Style11"/>
    <w:qFormat/>
    <w:rPr>
      <w:sz w:val="16"/>
      <w:szCs w:val="16"/>
    </w:rPr>
  </w:style>
  <w:style w:type="character" w:styleId="PageNumber">
    <w:name w:val="page number"/>
    <w:basedOn w:val="Style11"/>
    <w:rPr/>
  </w:style>
  <w:style w:type="character" w:styleId="LineNumber">
    <w:name w:val="line number"/>
    <w:basedOn w:val="Style11"/>
    <w:rPr>
      <w:rFonts w:cs="Arial"/>
      <w:szCs w:val="20"/>
    </w:rPr>
  </w:style>
  <w:style w:type="character" w:styleId="Hyperlink">
    <w:name w:val="Hyperlink"/>
    <w:basedOn w:val="Style11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טקסט הערה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Style14">
    <w:name w:val="טקסט בלונים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6689/96&amp;Pvol=&#1504;" TargetMode="External"/><Relationship Id="rId4" Type="http://schemas.openxmlformats.org/officeDocument/2006/relationships/hyperlink" Target="http://www.nevo.co.il/links/psika/?link=&#1512;&#1506;&#1508;%20242/07" TargetMode="External"/><Relationship Id="rId5" Type="http://schemas.openxmlformats.org/officeDocument/2006/relationships/hyperlink" Target="http://www.nevo.co.il/links/psika/?link=&#1506;&#1508;%20259/97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2008-12-15T15:57:00Z</dcterms:created>
  <dc:creator> </dc:creator>
  <dc:description/>
  <cp:keywords/>
  <dc:language>en-IL</dc:language>
  <cp:lastModifiedBy>hofit</cp:lastModifiedBy>
  <cp:lastPrinted>2008-12-14T09:48:00Z</cp:lastPrinted>
  <dcterms:modified xsi:type="dcterms:W3CDTF">2008-12-16T09:34:00Z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חיפה-משטרת ישראל</vt:lpwstr>
  </property>
  <property fmtid="{D5CDD505-2E9C-101B-9397-08002B2CF9AE}" pid="3" name="APPELLEE">
    <vt:lpwstr>מאיר רטצר</vt:lpwstr>
  </property>
  <property fmtid="{D5CDD505-2E9C-101B-9397-08002B2CF9AE}" pid="4" name="CITY">
    <vt:lpwstr>חי'</vt:lpwstr>
  </property>
  <property fmtid="{D5CDD505-2E9C-101B-9397-08002B2CF9AE}" pid="5" name="DATE">
    <vt:lpwstr>20081214</vt:lpwstr>
  </property>
  <property fmtid="{D5CDD505-2E9C-101B-9397-08002B2CF9AE}" pid="6" name="ISABSTRACT">
    <vt:lpwstr>Y</vt:lpwstr>
  </property>
  <property fmtid="{D5CDD505-2E9C-101B-9397-08002B2CF9AE}" pid="7" name="JUDGE">
    <vt:lpwstr>רחל חוזה</vt:lpwstr>
  </property>
  <property fmtid="{D5CDD505-2E9C-101B-9397-08002B2CF9AE}" pid="8" name="LAWYER">
    <vt:lpwstr>שפירו;קוסטא;מהסניגוריה הציבורית</vt:lpwstr>
  </property>
  <property fmtid="{D5CDD505-2E9C-101B-9397-08002B2CF9AE}" pid="9" name="NEWPARTA">
    <vt:lpwstr>1596</vt:lpwstr>
  </property>
  <property fmtid="{D5CDD505-2E9C-101B-9397-08002B2CF9AE}" pid="10" name="NEWPARTB">
    <vt:lpwstr/>
  </property>
  <property fmtid="{D5CDD505-2E9C-101B-9397-08002B2CF9AE}" pid="11" name="NEWPARTC">
    <vt:lpwstr>08</vt:lpwstr>
  </property>
  <property fmtid="{D5CDD505-2E9C-101B-9397-08002B2CF9AE}" pid="12" name="NEWPROC">
    <vt:lpwstr>תפ</vt:lpwstr>
  </property>
  <property fmtid="{D5CDD505-2E9C-101B-9397-08002B2CF9AE}" pid="13" name="PROCNUM">
    <vt:lpwstr>1596</vt:lpwstr>
  </property>
  <property fmtid="{D5CDD505-2E9C-101B-9397-08002B2CF9AE}" pid="14" name="PROCYEAR">
    <vt:lpwstr>08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380020081214</vt:lpwstr>
  </property>
  <property fmtid="{D5CDD505-2E9C-101B-9397-08002B2CF9AE}" pid="18" name="TYPE_N_DATE">
    <vt:lpwstr>38020081214</vt:lpwstr>
  </property>
  <property fmtid="{D5CDD505-2E9C-101B-9397-08002B2CF9AE}" pid="19" name="WORDNUMPAGES">
    <vt:lpwstr>5</vt:lpwstr>
  </property>
</Properties>
</file>