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15974-06-20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אלפקיר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ברק לקס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מאהר אלפקיר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יוסף אלפקיר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הצדדים הגיעו להסדר טיעון לפיו כתב האישום המקורי תוקן ו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 xml:space="preserve">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בעובדות כתב האישום המתוקן וכל אחד מהם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</w:rPr>
          <w:t>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ab/>
        <w:t xml:space="preserve"> </w:t>
      </w:r>
      <w:hyperlink r:id="rId17"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הסדר בין הצדדים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העסק</w:t>
      </w:r>
      <w:r>
        <w:rPr>
          <w:rtl w:val="true"/>
        </w:rPr>
        <w:t xml:space="preserve">) </w:t>
      </w:r>
      <w:r>
        <w:rPr>
          <w:rtl w:val="true"/>
        </w:rPr>
        <w:t>השוכן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רעות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/>
        <w:t>30.5.2020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00:12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tl w:val="true"/>
        </w:rPr>
        <w:t xml:space="preserve">, </w:t>
      </w:r>
      <w:r>
        <w:rPr>
          <w:rtl w:val="true"/>
        </w:rPr>
        <w:tab/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מבער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פרופן</w:t>
      </w:r>
      <w:r>
        <w:rPr>
          <w:rtl w:val="true"/>
        </w:rPr>
        <w:t xml:space="preserve">,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tl w:val="true"/>
        </w:rPr>
        <w:t xml:space="preserve">) </w:t>
      </w:r>
      <w:r>
        <w:rPr>
          <w:rtl w:val="true"/>
        </w:rPr>
        <w:t>וניגשו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ab/>
      </w:r>
      <w:r>
        <w:rPr>
          <w:rtl w:val="true"/>
        </w:rPr>
        <w:t>עקרו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431</w:t>
      </w:r>
      <w:r>
        <w:rPr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מכלים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דולקות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שוכבים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עיקריהם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: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;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תעסוקתית</w:t>
      </w:r>
      <w:r>
        <w:rPr>
          <w:rtl w:val="true"/>
        </w:rPr>
        <w:t xml:space="preserve">;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ab/>
        <w:tab/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; </w:t>
      </w:r>
      <w:r>
        <w:rPr>
          <w:rtl w:val="true"/>
        </w:rPr>
        <w:tab/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;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         </w:t>
      </w:r>
      <w:r>
        <w:rPr>
          <w:rtl w:val="true"/>
        </w:rPr>
        <w:tab/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; </w:t>
      </w:r>
      <w:r>
        <w:rPr>
          <w:rtl w:val="true"/>
        </w:rPr>
        <w:tab/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          </w:t>
      </w:r>
      <w:r>
        <w:rPr>
          <w:rtl w:val="true"/>
        </w:rPr>
        <w:tab/>
        <w:tab/>
      </w:r>
      <w:r>
        <w:rPr>
          <w:rtl w:val="true"/>
        </w:rPr>
        <w:t>ותחכום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ab/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        </w:t>
      </w:r>
      <w:r>
        <w:rPr>
          <w:rtl w:val="true"/>
        </w:rPr>
        <w:tab/>
        <w:tab/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מספר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איש עבודה ואבא לשני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שהתחתן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בנה בית ומגלה יציבות תעסוקתית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אין שוני מהותי בין שני הנאשמים שמחייב הבחנה ביניהם כפי שביקשה המאשימה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כך שיש להשית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מאסר מאחורי סורג ובריח ועל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מאסר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שירוצה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לטענת ההגנה יש להשית על שניהם מאסר שירוצה בעבודות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הודו בכתב האישום וחסכו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הביעו חרטה ולקחו אחריות על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חוות דעת הממונה על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 הנאשמים נמצאו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מתאימים לריצוי 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ההגנה עתרה להשית על כל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אחד מהנאשמים מאסר בפועל של 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שירוצה בדרך של עבודות שירות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ולהימנע מקנס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בעביר</w:t>
      </w:r>
      <w:r>
        <w:rPr>
          <w:rFonts w:ascii="David" w:hAnsi="David"/>
          <w:rtl w:val="true"/>
        </w:rPr>
        <w:t>ות שבגינן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למדיניות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הענישה 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 שהיא משתקפת מפסיקתו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2326/15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בנימין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14.4.15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פריצה לבניין שאינו מגורים ובביצוע עבירת גניבה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לריצוי בפועל</w:t>
      </w:r>
      <w:r>
        <w:rPr>
          <w:rFonts w:ascii="Arial" w:hAnsi="Arial" w:cs="Arial"/>
          <w:rtl w:val="true"/>
        </w:rPr>
        <w:t xml:space="preserve">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ערעורו לבית המשפט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4194/12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ציאש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19.8.12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שלושת המבקשים 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הורשעו בבית משפט השלום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קשירת קשר לביצוע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פריצה לבניין שאינו דירה או בית תפילה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כלי פריצה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וסיוע    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להתפרצות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גזר על מבקש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צו מבחן ושעות לתועלת הציבור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ועונשים נלווים על שני המבקשים האחרים שישה חודשי עבודות שירות ועונשים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על קולת העונש התקבל ובית המשפט המחוזי גזר על מבקש</w:t>
      </w: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תשעה חודשי מאסר בפועל</w:t>
      </w:r>
      <w:r>
        <w:rPr>
          <w:rFonts w:ascii="Arial" w:hAnsi="Arial" w:cs="Arial"/>
          <w:rtl w:val="true"/>
        </w:rPr>
        <w:t xml:space="preserve"> ועל שני המבקשים האחרים </w:t>
      </w:r>
      <w:r>
        <w:rPr>
          <w:rFonts w:ascii="Arial" w:hAnsi="Arial" w:cs="Arial"/>
          <w:u w:val="single"/>
          <w:rtl w:val="true"/>
        </w:rPr>
        <w:t>שנת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בקשת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רשות ערעור שהוגשה לבית המשפט העליון נדחתה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1917/18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סבית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8.3.18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בבית משפט השלום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סיוע לפריצה לבניין שאינו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מגורים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מכשירי פריצה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לרכוש במזיד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וקשירת קשר לביצוע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גזר עליו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המבקש לבית המשפט המחוזי על חומרת העונש נדחה וכן נדחתה בקשת רשות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הערעור שהוגשה לבית המשפט העליון בנוגע לעונשו של המבקש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לאירוע מושא כתב האישום </w:t>
      </w:r>
      <w:r>
        <w:rPr>
          <w:rFonts w:ascii="David" w:hAnsi="David"/>
          <w:u w:val="single"/>
          <w:rtl w:val="true"/>
        </w:rPr>
        <w:t>נע בין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</w:t>
      </w:r>
      <w:r>
        <w:rPr>
          <w:rFonts w:ascii="David" w:hAnsi="David"/>
          <w:rtl w:val="true"/>
        </w:rPr>
        <w:t xml:space="preserve"> הנתונים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לנאשם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וחסכון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היותו אב לשני ילדים קטינים והשפעת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המאסר על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 xml:space="preserve">לנאשם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rtl w:val="true"/>
        </w:rPr>
        <w:t xml:space="preserve">:  </w:t>
      </w:r>
      <w:r>
        <w:rPr>
          <w:rFonts w:ascii="David" w:hAnsi="David"/>
          <w:rtl w:val="true"/>
        </w:rPr>
        <w:t>הודאתו וחסכון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הרשעות פליליות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גילו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הצעיר בעת ביצוע העבירות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בגיר צעיר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הבעת חרטה וקבלת אחריות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לחומרא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לקחתי בחשבון את עברו הפלילי שכולל ארבע הרשעות קודמות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התחזות כאדם אחר במטרה להונות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עבירות על </w:t>
      </w:r>
      <w:r>
        <w:rPr>
          <w:rFonts w:cs="Arial" w:ascii="Arial" w:hAnsi="Arial"/>
          <w:rtl w:val="true"/>
        </w:rPr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לרכוש במזיד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הסגת גבול תוך נשיאת 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תקיפה הגורמת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חבלה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טענה שיש לערוך הבחנה בין שני הנאשמים כך שעל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יושת עונש של מאסר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בפועל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ובעוד שעל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יושת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שירוצו בדרך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הבסיס להבחנה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שלנאשם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עבר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פלילי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נעדר עבר פלילי וצעיר יותר בגיל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אינני מקבל את ההבחנה האמורה 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ולדעתי עקרון האחידות בענישה מחייב השתת מאסר שירוצה בעבודות שירות על שניהם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ואבהיר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מעובדות כתב האישום המתוקן שבהן הודו הנאשמים עולה שמידת האשם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 כל אחד מהם בביצוע העבירות מושא כתב האישום היא זהה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שניהם מעורבים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באותה מידה בתכנון ובביצוע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תוצאה עונשית שבה אחד מקבל מאסר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מאחורי סורג ובריח והשני מקבל מאסר שירוצה בעבודות שירות תהיה תוצאה בלתי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שוויונית ובלתי סבירה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מבוגר 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בגיר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עדיין יש לקחת בחשבון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אב לילדים קטינים שפרנסתם עליו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בעוד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איננו אב לילדים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הנתון בדבר קיומו של רישום פלילי לחובתו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נתון מאבחן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אך משקלו הסגולי הוא לא מרחיק לכת עד כדי  כך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יישלח למאסר מאחורי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סורג ובריח ובעוד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יהיה משוחרר ויבצע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לתת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ביטוי לשוני ביניהם בשל עברו הפלילי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בכך שיושת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קנס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משמעותי יותר מזה שיושת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משית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810" w:start="153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בימים ובשעות שעליהם המליץ הממונה על עבודות שירות בחוות הדעת שהוגשה על ידו לבית המשפט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ת רכוש מסוג פשע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ת רכוש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עבירה לפי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קנס בסך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פיצוי למתלונן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הפיצוי ישולם עד ליום </w:t>
      </w:r>
      <w:r>
        <w:rPr>
          <w:rFonts w:cs="David" w:ascii="David" w:hAnsi="David"/>
        </w:rPr>
        <w:t>1.6.24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משית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810" w:start="153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בימים ובשעות שעליהם המליץ הממונה על עבודות שירות בחוות הדעת שהוגשה על ידו לבית המשפט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ת רכוש מסוג פשע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ת רכוש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עבירה לפי </w:t>
      </w:r>
      <w:hyperlink r:id="rId24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קנס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פיצוי למתלונן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הפיצוי ישולם עד ליום </w:t>
      </w:r>
      <w:r>
        <w:rPr>
          <w:rFonts w:cs="David" w:ascii="David" w:hAnsi="David"/>
        </w:rPr>
        <w:t>1.6.24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15974-06-20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מאהר אלפקיר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7.a" TargetMode="External"/><Relationship Id="rId7" Type="http://schemas.openxmlformats.org/officeDocument/2006/relationships/hyperlink" Target="http://www.nevo.co.il/law/70301/409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409" TargetMode="External"/><Relationship Id="rId11" Type="http://schemas.openxmlformats.org/officeDocument/2006/relationships/hyperlink" Target="http://www.nevo.co.il/law/70301/29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7.a" TargetMode="External"/><Relationship Id="rId15" Type="http://schemas.openxmlformats.org/officeDocument/2006/relationships/hyperlink" Target="http://www.nevo.co.il/law/70301/29.a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case/20152645" TargetMode="External"/><Relationship Id="rId19" Type="http://schemas.openxmlformats.org/officeDocument/2006/relationships/hyperlink" Target="http://www.nevo.co.il/case/5585940" TargetMode="External"/><Relationship Id="rId20" Type="http://schemas.openxmlformats.org/officeDocument/2006/relationships/hyperlink" Target="http://www.nevo.co.il/case/2376601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70301/41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1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2024-02-25T13:04:00Z</dcterms:created>
  <dc:creator> </dc:creator>
  <dc:description/>
  <cp:keywords/>
  <dc:language>en-IL</dc:language>
  <cp:lastModifiedBy>h1</cp:lastModifiedBy>
  <dcterms:modified xsi:type="dcterms:W3CDTF">2024-02-25T13:04:00Z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מאהר אלפקיר;יוסף אלפקיר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20152645;5585940;23766011</vt:lpwstr>
  </property>
  <property fmtid="{D5CDD505-2E9C-101B-9397-08002B2CF9AE}" pid="9" name="CITY">
    <vt:lpwstr>רמ'</vt:lpwstr>
  </property>
  <property fmtid="{D5CDD505-2E9C-101B-9397-08002B2CF9AE}" pid="10" name="DATE">
    <vt:lpwstr>20240220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70301/409;029.a:2;407.a;025;275;413:2</vt:lpwstr>
  </property>
  <property fmtid="{D5CDD505-2E9C-101B-9397-08002B2CF9AE}" pid="15" name="LAWLISTTMP2">
    <vt:lpwstr>4216</vt:lpwstr>
  </property>
  <property fmtid="{D5CDD505-2E9C-101B-9397-08002B2CF9AE}" pid="16" name="LAWYER">
    <vt:lpwstr>ברק לקס;אסף 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15974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380020240220</vt:lpwstr>
  </property>
  <property fmtid="{D5CDD505-2E9C-101B-9397-08002B2CF9AE}" pid="35" name="TYPE_N_DATE">
    <vt:lpwstr>38020240220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