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528"/>
        <w:gridCol w:w="2977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52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16161-04-21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ולאני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297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חגית מאק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קלמנוביץ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יוסף 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ולאני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סאהר עלי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חמזה קוואסמי 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308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 xml:space="preserve">גזר דין לנאשם </w:t>
      </w:r>
      <w:r>
        <w:rPr>
          <w:rFonts w:cs="David" w:ascii="David" w:hAnsi="David"/>
          <w:b/>
          <w:bCs/>
          <w:sz w:val="32"/>
          <w:szCs w:val="32"/>
          <w:u w:val="single"/>
        </w:rPr>
        <w:t>1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cs="Arial" w:ascii="Arial" w:hAnsi="Arial"/>
          <w:sz w:val="26"/>
          <w:szCs w:val="26"/>
          <w:rtl w:val="true"/>
        </w:rPr>
        <w:tab/>
      </w:r>
      <w:bookmarkStart w:id="10" w:name="ABSTRACT_START"/>
      <w:bookmarkEnd w:id="10"/>
      <w:r>
        <w:rPr>
          <w:rFonts w:ascii="Arial" w:hAnsi="Arial" w:cs="Arial"/>
          <w:sz w:val="26"/>
          <w:sz w:val="26"/>
          <w:szCs w:val="26"/>
          <w:rtl w:val="true"/>
        </w:rPr>
        <w:t>הנאשם הודה והורשע במסגרת הסדר טיעון שלא כלל הסכמה לעניין העונש בכתב אישום מתוקן המייחס לו שלושה אישומים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כולם עוסקים בעסקאות נשק שנערכו עם סוכן משטרתי סמוי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bookmarkStart w:id="11" w:name="ABSTRACT_END"/>
      <w:bookmarkEnd w:id="11"/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באישום הראשון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מתואר כי ביום </w:t>
      </w:r>
      <w:r>
        <w:rPr>
          <w:rFonts w:cs="Arial" w:ascii="Arial" w:hAnsi="Arial"/>
          <w:sz w:val="26"/>
          <w:szCs w:val="26"/>
        </w:rPr>
        <w:t>20.2.21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יצר הסוכן המשטרתי קשר עם הנאשם וקבע להיפגש עמו כדי לרכוש ממנו אקדח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 ושתי קופסאות כדורים תואמים תמורת סכום של </w:t>
      </w:r>
      <w:r>
        <w:rPr>
          <w:rFonts w:cs="Arial" w:ascii="Arial" w:hAnsi="Arial"/>
          <w:sz w:val="26"/>
          <w:szCs w:val="26"/>
        </w:rPr>
        <w:t>36,000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השניים קבעו להיפגש למחרת בשעה </w:t>
      </w:r>
      <w:r>
        <w:rPr>
          <w:rFonts w:cs="Arial" w:ascii="Arial" w:hAnsi="Arial"/>
          <w:sz w:val="26"/>
          <w:szCs w:val="26"/>
        </w:rPr>
        <w:t>20:00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במחנה פליטים שועפאט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בסמוך לזמן המפגש הודיע הסוכן לנאשם שירכוש ממנו את הנשק ללא קופסאות הכדורים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הגיע לנקודת המפגש כשהוא נושא עליו שני אקדחים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נכנס לרכבו של הסוכן והציע לו לרכוש את שני האקדחים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אקדח מסוג </w:t>
      </w:r>
      <w:r>
        <w:rPr>
          <w:rFonts w:cs="Arial" w:ascii="Arial" w:hAnsi="Arial"/>
          <w:sz w:val="26"/>
          <w:szCs w:val="26"/>
        </w:rPr>
        <w:t>FN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פאראבלום תמורת </w:t>
      </w:r>
      <w:r>
        <w:rPr>
          <w:rFonts w:cs="Arial" w:ascii="Arial" w:hAnsi="Arial"/>
          <w:sz w:val="26"/>
          <w:szCs w:val="26"/>
        </w:rPr>
        <w:t>35,000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ואקדח מסוג גלוק תמורת </w:t>
      </w:r>
      <w:r>
        <w:rPr>
          <w:rFonts w:cs="Arial" w:ascii="Arial" w:hAnsi="Arial"/>
          <w:sz w:val="26"/>
          <w:szCs w:val="26"/>
        </w:rPr>
        <w:t>48,000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הסוכן המשטרתי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יחד עם סוכן נוסף בשם מוחמד שהיה עמו ברכב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בדקו את כלי הנשק המוצעים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והנאשם הציע לסוכן לנסוע מספר מטרים למקום נטוש כדי לירות מספר כדורים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מסר לסוכן מוחמד את האקדח הבלגי כשהוא מוכן לירי עם מחסנית בתוך הבית וכדור בבית הבליעה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ומוחמד ירה שלושה כדורים לוודא את תקינות האקדח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לאחר מכן חזרו השלושה לנקודת המפגש והסוכן מסר לנאשם סכום של </w:t>
      </w:r>
      <w:r>
        <w:rPr>
          <w:rFonts w:cs="Arial" w:ascii="Arial" w:hAnsi="Arial"/>
          <w:sz w:val="26"/>
          <w:szCs w:val="26"/>
        </w:rPr>
        <w:t>35,000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>בתמורה לאקדח הבלגי ולמחסנית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הבטיח לסוכן שבעיסקה הבאה יתן לו תחמושת ללא תמורה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באישום זה הואשם הנאשם בעבירות של סחר בנשק לפי </w:t>
      </w:r>
      <w:hyperlink r:id="rId10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sz w:val="26"/>
            <w:szCs w:val="26"/>
          </w:rPr>
          <w:t>2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חוק העונשין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;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החוק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ובנשיאה והובלה של נשק לפי </w:t>
      </w:r>
      <w:hyperlink r:id="rId12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באישום השני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מתואר כי ביום </w:t>
      </w:r>
      <w:r>
        <w:rPr>
          <w:rFonts w:cs="Arial" w:ascii="Arial" w:hAnsi="Arial"/>
          <w:sz w:val="26"/>
          <w:szCs w:val="26"/>
        </w:rPr>
        <w:t>1.3.21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יצר הסוכן קשר עם הנאשם וביקש לרכוש את אקדח הגלוק שהוצע לו בעסקה הקודמת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השיב כי הגלוק נמכר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אך הציע למכור לסוכן אקדח אחר תמורת </w:t>
      </w:r>
      <w:r>
        <w:rPr>
          <w:rFonts w:cs="Arial" w:ascii="Arial" w:hAnsi="Arial"/>
          <w:sz w:val="26"/>
          <w:szCs w:val="26"/>
        </w:rPr>
        <w:t>53,000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השניים סיכמו בשיחה על מכירת אקדח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 ושתי מחסניות תואמות תמורת </w:t>
      </w:r>
      <w:r>
        <w:rPr>
          <w:rFonts w:cs="Arial" w:ascii="Arial" w:hAnsi="Arial"/>
          <w:sz w:val="26"/>
          <w:szCs w:val="26"/>
        </w:rPr>
        <w:t>50,000</w:t>
      </w:r>
      <w:r>
        <w:rPr>
          <w:rFonts w:cs="Arial" w:ascii="Arial" w:hAnsi="Arial"/>
          <w:sz w:val="26"/>
          <w:szCs w:val="26"/>
          <w:rtl w:val="true"/>
        </w:rPr>
        <w:t xml:space="preserve"> ₪,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כשמרבית הסכום ישולם בעת ביצוע העסקה וסכום של </w:t>
      </w:r>
      <w:r>
        <w:rPr>
          <w:rFonts w:cs="Arial" w:ascii="Arial" w:hAnsi="Arial"/>
          <w:sz w:val="26"/>
          <w:szCs w:val="26"/>
        </w:rPr>
        <w:t>2,000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>ישולם במועד אחר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3.3.21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שוחחו הנאשם והסוכן פעם נוספת והסוכן הודיע שהצליח לגייס סכום של </w:t>
      </w:r>
      <w:r>
        <w:rPr>
          <w:rFonts w:cs="Arial" w:ascii="Arial" w:hAnsi="Arial"/>
          <w:sz w:val="26"/>
          <w:szCs w:val="26"/>
        </w:rPr>
        <w:t>48,500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>ואת היתרה ישלם מאוחר יותר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בשעה </w:t>
      </w:r>
      <w:r>
        <w:rPr>
          <w:rFonts w:cs="Arial" w:ascii="Arial" w:hAnsi="Arial"/>
          <w:sz w:val="26"/>
          <w:szCs w:val="26"/>
        </w:rPr>
        <w:t>20:00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נפגשו השניים בהתאם לסיכום ביניהם בנקודת המפגש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הגיע למקום בקטנוע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כשהוא נושא מזוודה ובה אקדח חצי אוטומטי תוצרת הקלר וקוח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גרמניה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קליבר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 פרבלום עם מחסנית תואמת ושלושה כדורים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נכנס לרכבו של הסוכן ומסר לסוכן מוחמד את האקדח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השלושה נסעו כמה מטרים למקום נטוש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הכניס למחסנית שלושה כדורים ומסר את האקדח למוחמד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שירה את הכדורים לוודא תקינות האקדח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סיכם עם הסוכן שמחסנית תואמת נוספת תימסר לו במפגש הבא ולאחר שישלים את התמורה עבור האקדח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השלושה חזרו לנקודת המפגש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הסוכן שילם לנאשם וקיבל את האקדח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כמו כן קיבל ללא תמורה קופסת כדורי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באישום זה יוחסה לנאשם עבירה של סחר בנשק לפי </w:t>
      </w:r>
      <w:hyperlink r:id="rId13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sz w:val="26"/>
            <w:szCs w:val="26"/>
          </w:rPr>
          <w:t>2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האישום השלישי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אף הוא מתאר עסקה בין הנאשם לסוכן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כאשר התיאום התבצע בשיחת טלפון ביום </w:t>
      </w:r>
      <w:r>
        <w:rPr>
          <w:rFonts w:cs="Arial" w:ascii="Arial" w:hAnsi="Arial"/>
          <w:sz w:val="26"/>
          <w:szCs w:val="26"/>
        </w:rPr>
        <w:t>20.3.21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העסקה כללה מכירת אקדח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 וארבע קופסאות כדורים תמורת </w:t>
      </w:r>
      <w:r>
        <w:rPr>
          <w:rFonts w:cs="Arial" w:ascii="Arial" w:hAnsi="Arial"/>
          <w:sz w:val="26"/>
          <w:szCs w:val="26"/>
        </w:rPr>
        <w:t>39,200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בשיחה ביום </w:t>
      </w:r>
      <w:r>
        <w:rPr>
          <w:rFonts w:cs="Arial" w:ascii="Arial" w:hAnsi="Arial"/>
          <w:sz w:val="26"/>
          <w:szCs w:val="26"/>
        </w:rPr>
        <w:t>22.3.21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הודיע הנאשם לסוכן שלא עלה בידו להשיג כדורים והתמורה הופחתה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37,000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  <w:r>
        <w:rPr>
          <w:rFonts w:ascii="Arial" w:hAnsi="Arial" w:cs="Arial"/>
          <w:sz w:val="26"/>
          <w:sz w:val="26"/>
          <w:szCs w:val="26"/>
          <w:rtl w:val="true"/>
        </w:rPr>
        <w:t>הסוכן ביקש מהנאשם להביא עמו אקדח נוסף שהציע למכור לו בעבר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הצדדים הגיעו לנקודת המפגש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הגיע כשהוא רכוב על אופנוע שנמסרה לגביו הודעת אי שימוש ונשא עמו שני אקדחים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האחד תוצאת סמית 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ווטססון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ארה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קליבר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 פראבלום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והשני אקדח חצי אוטומטי מסוג גלוק תוצרת אוסטריה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אף הוא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 פראבלום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נכנס לרכבו של הסוכן והציע לו את האקדחים תמורת סכומים של </w:t>
      </w:r>
      <w:r>
        <w:rPr>
          <w:rFonts w:cs="Arial" w:ascii="Arial" w:hAnsi="Arial"/>
          <w:sz w:val="26"/>
          <w:szCs w:val="26"/>
        </w:rPr>
        <w:t>36,000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48,000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הגיע אף הוא לנקודת המפגש על אופנוע והביא מזוודה ובה מחסנית ואבזרי נשק נוספים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אותה מסר לנאשם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והסוכן ניהלו משא ומתן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במהלכו הודיע הנאשם כי באפשרותו להציע למכירה אקדח נוסף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הוא התקשר לנאשם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וזה הביא אקדח חצי אוטומטי </w:t>
      </w:r>
      <w:r>
        <w:rPr>
          <w:rFonts w:cs="Arial" w:ascii="Arial" w:hAnsi="Arial"/>
          <w:sz w:val="26"/>
          <w:szCs w:val="26"/>
        </w:rPr>
        <w:t>D.D.G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עם מחסנית ריקה תואמת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מסר למוחמד את שלושת האקדחים ומחסנית הכוללת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השלושה נסעו למקום הנטוש ומוחמד ירה בכל אחד מהאקדחים כדי לוודא את תקינותו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לאחר מכן חזרו לנקודת המפגש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הסוכן מסר לנאשם כסף תמורת האקדח וכן את יתרת התשלום בגין העסקה הקודמת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ובעת ספירת הכסף נעצר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באישום זה הואשם הנאשם והודה בעבירות של ניסיון סחר בנשק ובאביזרי נשק לפי </w:t>
      </w:r>
      <w:hyperlink r:id="rId15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sz w:val="26"/>
            <w:szCs w:val="26"/>
          </w:rPr>
          <w:t>2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עם </w:t>
      </w:r>
      <w:hyperlink r:id="rId16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29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נשיאה והובלת נשק לפי </w:t>
      </w:r>
      <w:hyperlink r:id="rId18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נהיגה ללא רשיון נהיגה תקף לפי </w:t>
      </w:r>
      <w:hyperlink r:id="rId19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10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2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פקודת התעבורה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[</w:t>
      </w:r>
      <w:r>
        <w:rPr>
          <w:rFonts w:ascii="Arial" w:hAnsi="Arial" w:cs="Arial"/>
          <w:sz w:val="26"/>
          <w:sz w:val="26"/>
          <w:szCs w:val="26"/>
          <w:rtl w:val="true"/>
        </w:rPr>
        <w:t>נוסח חדש</w:t>
      </w:r>
      <w:r>
        <w:rPr>
          <w:rFonts w:cs="Arial" w:ascii="Arial" w:hAnsi="Arial"/>
          <w:sz w:val="26"/>
          <w:szCs w:val="26"/>
          <w:rtl w:val="true"/>
        </w:rPr>
        <w:t>]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פקודת התעבורה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בצירוף </w:t>
      </w:r>
      <w:hyperlink r:id="rId21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38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לפקודה זו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ונהיגה ברכב עליו נמסרה הודעת שימוש לפי סעיף </w:t>
      </w:r>
      <w:hyperlink r:id="rId22">
        <w:r>
          <w:rPr>
            <w:rStyle w:val="Hyperlink"/>
            <w:rFonts w:cs="Arial" w:ascii="Arial" w:hAnsi="Arial"/>
            <w:sz w:val="26"/>
            <w:szCs w:val="26"/>
          </w:rPr>
          <w:t>308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 xml:space="preserve"> 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לפקודת התעבורה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טיעוני הצדדים  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המאשימה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עמד בטיעוניו על כך שהנאשם הורשע בשלושה אישומים נפרדים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שבכל אחד מהם הביא עמו שני כלי נשק ובאישום השלישי בעקבות שיחת טלפון הביא אקדח נוסף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מבחינת נסיבות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טען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הנאשם לא שימש כצינור אלא היה הרוח החיה מאחורי העסקאות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ששוחח עם הסוכן והוא שהביא את כלי הנשק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ניכר כי היתה לו גישה לכלי הנשק וזמינות גבוהה שלהם והוא אף הרוויח סכומי כסף גדולים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טען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כי כלי הנשק הבלתי חוקיים והשימוש שנעשה בהם גורמים מידי יום לנזק וצער רב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ועל בית המשפט להצטרף למאבק בתופעה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לטענתו מעשיו של הנאשם פוגעים בערך של שמירה על חיי אדם ושמירת הסדר הציבורי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ומידת הפגיעה במקרה זה חמורה מאד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בעניין מדיניות הענישה הדגיש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כי אין מדובר בפרמטר יחיד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  מהפסיקה עולה כי חלה החמרה ברמת הענישה וכי יש מקום להחמרה נוספת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המגמה של החמרת הענישה עולה גם מתיקוני חקיקה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אמנם אינם חלים במקרה זה אך מעידים על עמדת המחוקק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המאשימה ביקשה לקבוע מתחם ענישה בין </w:t>
      </w:r>
      <w:r>
        <w:rPr>
          <w:rFonts w:cs="Arial" w:ascii="Arial" w:hAnsi="Arial"/>
          <w:sz w:val="26"/>
          <w:szCs w:val="26"/>
        </w:rPr>
        <w:t>42-72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לעל עבירה של סחר בנשק 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24-48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 לכל עבירה של נשיאת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עם אפשרות לחפיפה מסויימת בין האישומים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באשר לנסיבות שאינן קשורות בביצוע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ציין כי הנאשם הודה וחסך זמן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ומאידך כי התסקיר בעניינו אינו חיובי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בהתחשב בצורך בהרתעת היחיד והרבים ביקש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 המאשימה לגזור על הנאשם 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מאסר על תנאי וקנס משמעותי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כ הנאשם </w:t>
      </w:r>
      <w:r>
        <w:rPr>
          <w:rFonts w:ascii="Arial" w:hAnsi="Arial" w:cs="Arial"/>
          <w:sz w:val="26"/>
          <w:sz w:val="26"/>
          <w:szCs w:val="26"/>
          <w:rtl w:val="true"/>
        </w:rPr>
        <w:t>ציין בטיעוניו כי הנאשם ללא עבר פלילי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הודה במיוחס לו וחסך זמן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הוסיף כי העבירה של נשיאת הנשק נבלעת בעבירת הסחר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יש להעניש את הנאשם פעם אחת ואין מקום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לפרק לגורמים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את האירוע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טען כי נשיאת הנשק היתה קצרה מאד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הרוכש הגיע אל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וכי כל העבירות בוצעו בתוך תקופה קצרה של </w:t>
      </w:r>
      <w:r>
        <w:rPr>
          <w:rFonts w:cs="Arial" w:ascii="Arial" w:hAnsi="Arial"/>
          <w:sz w:val="26"/>
          <w:szCs w:val="26"/>
        </w:rPr>
        <w:t>28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היוזמה והפניה נעשו על ידי הסוכן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הסניגור הוסיף עוד כי באירוע מעורב 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והוא שהיה הולך ומביא את כלי הנשק אל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לעניין מתחם הענישה טען הסניגור כי כל העסקאות בוצעו בין אותם שלושה מעורבים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טיב ה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סחורה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היה דומה והתשלום ניתן מאותו אדם ולאותו אדם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לפיכך מדובר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לטענתו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באירוע אחד שיש לקבוע בגינו מתחם ענישה אחד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הוסיף כי מדובר במכירה של אקדחים ולא של נשק ארוך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 הנאשם לא קיבל לכיסו את כל הסכומים ששולמו אלא עמלה בלבד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לאור כל אלה ביקש הסניגור לקבוע מתחם ענישה בין </w:t>
      </w:r>
      <w:r>
        <w:rPr>
          <w:rFonts w:cs="Arial" w:ascii="Arial" w:hAnsi="Arial"/>
          <w:sz w:val="26"/>
          <w:szCs w:val="26"/>
        </w:rPr>
        <w:t>20-40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לכלל האישומים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במסגרת המתחם טען הסניגור כי הנאשם הועמד לדין בתיק זה לראשונה וכי תסקיר שירות המבחן מצביע על עובדות חיוביות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</w:rPr>
        <w:t>הנאשם משלים עתה לימודים לשיפור תעודת בגרות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המניע למעשיו כספי ואינו בטחוני או אידיאולוגי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מבין את המחיר שמשלמת החברה על הימצאות נשק בלתי חוקי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ואת העובדה שעליו לשלם על הטעות שעשה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הוא בעל יכולות לימודיות ויכולת לשמור על אורח חיים נורמטיבי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לוקח אחריות על מעשיו ומביע חרטה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ויתר על דיון בשחרור לחלופת מעצר ועל ניהול הוכחות מתוך חרטה ולקיחת אחריות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אף הוכיח יכולת לנהל אורח חיים נורמטיבי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בכך שעבד באופן יציב במשך שנים וכן למד והוא זכאי לתעודת בגרות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הוצגו אסמכתאות לעניין העבודה והלימודים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אביו של 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ביקש לומר את דברו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והבהיר כי לא חינך את ילדיו על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לדבריו בנו הלך בדרך לא נכונה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מדובר במעידה חד פעמית ולא בחינוך שנתן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בחיפוש שנערך בביתו לא נמצא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ביקש רחמים בגזירת דינו של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עצמו אמר כי הוא מכר בכך שעשה טעות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 היה אחראי כפי שהוא היום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לדבריו הוא שילם ומשלם על כך בחייו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לומד בכלא ורואה את הנזק שנגרם במגזר הערבי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ביקש את רחמי בית המשפט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תסקיר שירות המבחן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מתסקיר שירות המבחן שהוגש בעניינו עולה כי הנאשם הוא רווק כבן </w:t>
      </w:r>
      <w:r>
        <w:rPr>
          <w:rFonts w:cs="Arial" w:ascii="Arial" w:hAnsi="Arial"/>
          <w:sz w:val="26"/>
          <w:szCs w:val="26"/>
        </w:rPr>
        <w:t>23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ללא עבר פלילי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סיים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לימוד ובעל תעודת בגרות ירדנית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הוא תלה את מעשיו בהיגררות אחר חברה שלילית וברצון לעשות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כסף קל</w:t>
      </w:r>
      <w:r>
        <w:rPr>
          <w:rFonts w:cs="Arial" w:ascii="Arial" w:hAnsi="Arial"/>
          <w:sz w:val="26"/>
          <w:szCs w:val="26"/>
          <w:rtl w:val="true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</w:rPr>
        <w:t>כשלדבריו המניע העיקרי למעשיו היה כלכלי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רק לאחר מעשה החל הנאשם להפנים את הנזקים והמחירים החברתיים הנגרמים בעקבות מעשיו ובשל עבריינות בכלל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קצין המבחן התרשם מנטילת אחריות פורמלית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ועם זאת ציין כי הנאשם הביע חרטה ורצון להימנע מהתחברות לחברה שולית ועבריינית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ניצל את תקופת מעצרו לשיפור יכולות התעסוקה שלו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לנוכח חומרת העבירות המליץ קצין המבחן על ענישה מוחשית מציבה גבולות וענישה מותנית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התחשבות גם בתקופת מעצרו ובגילו הצעיר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מתחם העונש ההולם</w:t>
      </w:r>
    </w:p>
    <w:p>
      <w:pPr>
        <w:pStyle w:val="Normal"/>
        <w:spacing w:lineRule="auto" w:line="360" w:before="0" w:after="240"/>
        <w:ind w:hanging="12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אין צורך להכביר מילים אודות חומרתן של עבירות נשק והסכנה הרבה הנשקפת מהן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הסחר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בנשק עלול להביא להימצאותו של נשק בידי גורמים המעוניינים לעשות בו שימוש אסור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ולגרום לסיכון ממשי של שלום הציבור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בין שהסיכון בטחוני ובין שהוא פלילי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העובדה שמאן דהוא מוכן לשלם סכומי כסף גדולים עבור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מעידה על נכונות ואף כוונה לעשות בו שימוש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נפסק לא אחת כי הסכנה הרבה שבשימוש בנשק מחייבת ענישה חמורה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לדוגמא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נקבע ב</w:t>
      </w:r>
      <w:hyperlink r:id="rId2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4154/16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רונן דהוד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240"/>
        <w:ind w:start="1440" w:end="567"/>
        <w:jc w:val="both"/>
        <w:rPr/>
      </w:pP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cs="Arial" w:ascii="Arial" w:hAnsi="Arial"/>
          <w:b/>
          <w:bCs/>
          <w:sz w:val="26"/>
          <w:szCs w:val="26"/>
        </w:rPr>
        <w:t>11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בפסיקתנו נקבע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לא אחת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כי יש לראות את תופעת הסחר הבלתי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חוקי בנשק בחומרה רבה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נפסק כי לא ניתן להשלים עם קיומו של 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שוק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מחתרתי בלתי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חוקי למכירת כלי נשק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וגדיעתו היא תנאי הכרחי למיגורם של מעשי אלימות חמורים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המתרחשים במקומותינו בתדירות מדאיגה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אלה מתאפשרים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בין היתר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בשל הימצאותם של כלי נשק בידי עבריינים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cs="Arial" w:ascii="Arial" w:hAnsi="Arial"/>
          <w:b/>
          <w:bCs/>
          <w:sz w:val="26"/>
          <w:szCs w:val="26"/>
          <w:rtl w:val="true"/>
        </w:rPr>
        <w:t>: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hyperlink r:id="rId2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6542/11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מוקטראן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פיסקה </w:t>
      </w:r>
      <w:r>
        <w:rPr>
          <w:rFonts w:cs="Arial" w:ascii="Arial" w:hAnsi="Arial"/>
          <w:b/>
          <w:bCs/>
          <w:sz w:val="26"/>
          <w:szCs w:val="26"/>
        </w:rPr>
        <w:t>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(</w:t>
      </w:r>
      <w:r>
        <w:rPr>
          <w:rFonts w:cs="Arial" w:ascii="Arial" w:hAnsi="Arial"/>
          <w:b/>
          <w:bCs/>
          <w:sz w:val="26"/>
          <w:szCs w:val="26"/>
        </w:rPr>
        <w:t>25.02.2013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)).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הדבר חמור שבעתיים במציאות הישראלית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שבה נשק המוחזק באופן בלתי חוקי עלול להגיע אף לידי מעורבים בפעילות חבלנית עוינת על רקע ביטחוני 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...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ואכן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המגמה בשנים האחרונות לגבי עבירות נשק היא של החמרה ברמת ענישתם של המעורבים בהן ומתן ביטוי עונשי ההולם את הסכנה הנשקפת מהם</w:t>
      </w:r>
      <w:r>
        <w:rPr>
          <w:rFonts w:cs="Arial" w:ascii="Arial" w:hAnsi="Arial"/>
          <w:b/>
          <w:bCs/>
          <w:sz w:val="26"/>
          <w:szCs w:val="26"/>
          <w:rtl w:val="true"/>
        </w:rPr>
        <w:t>..."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2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9543/09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בילאל רחאל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start="1440" w:end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אין צורך להכביר מלים על הקלות הבלתי נסבלת שבה סובב נשק חם או קר על נגזרותיו בידיים עברייניות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פעמים שהנשק נוטל חיי אדם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פעמים הוא פוגע בגוף האדם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ופעמים מתמזל המזל ובסייעתא דשמיא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אין פגיעה גופנית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הצד השווה הוא תדיר הפוטנציאל ההרסני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והבעתה האוחזת את הקרבנות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בכגון דא – לצד עבירת הנשק נקבע עונש של </w:t>
      </w:r>
      <w:r>
        <w:rPr>
          <w:rFonts w:cs="Arial" w:ascii="Arial" w:hAnsi="Arial"/>
          <w:b/>
          <w:bCs/>
          <w:sz w:val="26"/>
          <w:szCs w:val="26"/>
        </w:rPr>
        <w:t>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ובסיוע כבענייננו – מחצית</w:t>
      </w:r>
      <w:r>
        <w:rPr>
          <w:rFonts w:cs="Arial" w:ascii="Arial" w:hAnsi="Arial"/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וב</w:t>
      </w:r>
      <w:hyperlink r:id="rId2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761/07</w:t>
        </w:r>
      </w:hyperlink>
      <w:r>
        <w:rPr>
          <w:rFonts w:cs="Arial" w:ascii="Arial" w:hAnsi="Arial"/>
          <w:sz w:val="26"/>
          <w:szCs w:val="26"/>
          <w:u w:val="single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מיכאל אדרי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240"/>
        <w:ind w:start="1440" w:end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ניסיון השנים האחרונות מלמד שנשק המוחזק שלא כדין מוצא את דרכו לעתים לידיים עוינות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ולעתים נעשה בו שימוש למטרות פליליות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ואלה גם אלה כבר גרמו לא אחת לאובדן חיי אדם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ולפגיעה בחפים מפשע שכל 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חטאם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נבע מכך שהם נקלעו בדרך מקרה לזירת הפשע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כדי להילחם בכל אלה צריך העונש לבטא את סלידתה של החברה ודעתה הנחרצת שלא להשלים עם עבריינות בכלל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ומסוג זה בפרט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 w:before="0" w:after="240"/>
        <w:ind w:firstLine="567" w:start="1440" w:end="567"/>
        <w:jc w:val="both"/>
        <w:rPr>
          <w:rFonts w:ascii="FrankRuehl" w:hAnsi="FrankRuehl" w:eastAsia="Calibri" w:cs="FrankRuehl"/>
          <w:spacing w:val="10"/>
          <w:sz w:val="28"/>
          <w:szCs w:val="28"/>
        </w:rPr>
      </w:pPr>
      <w:r>
        <w:rPr>
          <w:rFonts w:ascii="David" w:hAnsi="David"/>
          <w:sz w:val="26"/>
          <w:sz w:val="26"/>
          <w:szCs w:val="26"/>
          <w:rtl w:val="true"/>
        </w:rPr>
        <w:t>לאחרונה ממש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נפסק ב</w:t>
      </w:r>
      <w:hyperlink r:id="rId27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6068/21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אברהים פקיה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19.12.21</w:t>
      </w:r>
      <w:r>
        <w:rPr>
          <w:rFonts w:cs="David" w:ascii="David" w:hAnsi="David"/>
          <w:sz w:val="26"/>
          <w:szCs w:val="26"/>
          <w:rtl w:val="true"/>
        </w:rPr>
        <w:t>):</w:t>
      </w:r>
    </w:p>
    <w:p>
      <w:pPr>
        <w:pStyle w:val="Normal"/>
        <w:tabs>
          <w:tab w:val="clear" w:pos="720"/>
          <w:tab w:val="left" w:pos="907" w:leader="none"/>
        </w:tabs>
        <w:overflowPunct w:val="false"/>
        <w:autoSpaceDE w:val="false"/>
        <w:spacing w:lineRule="auto" w:line="360"/>
        <w:ind w:start="1440" w:end="567"/>
        <w:jc w:val="both"/>
        <w:rPr/>
      </w:pPr>
      <w:r>
        <w:rPr>
          <w:rFonts w:eastAsia="Calibri" w:cs="David" w:ascii="David" w:hAnsi="David"/>
          <w:spacing w:val="10"/>
          <w:sz w:val="26"/>
          <w:szCs w:val="26"/>
          <w:rtl w:val="true"/>
        </w:rPr>
        <w:t>"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יש להדגיש את החומרה היתירה שנודעה לביצוע עבירות נשק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על כל סוגיהן ומיניהן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.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במסגרת פסק הדין ב</w:t>
      </w:r>
      <w:hyperlink r:id="rId28">
        <w:r>
          <w:rPr>
            <w:rStyle w:val="Hyperlink"/>
            <w:rFonts w:ascii="David" w:hAnsi="David" w:eastAsia="Calibri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spacing w:val="10"/>
            <w:sz w:val="26"/>
            <w:szCs w:val="26"/>
            <w:u w:val="single"/>
          </w:rPr>
          <w:t>4595/13</w:t>
        </w:r>
      </w:hyperlink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ascii="David" w:hAnsi="David" w:eastAsia="Calibri"/>
          <w:b/>
          <w:b/>
          <w:bCs/>
          <w:sz w:val="26"/>
          <w:sz w:val="26"/>
          <w:szCs w:val="26"/>
          <w:rtl w:val="true"/>
        </w:rPr>
        <w:t>זובידאת נ</w:t>
      </w:r>
      <w:r>
        <w:rPr>
          <w:rFonts w:eastAsia="Calibri"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eastAsia="Calibri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(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6.7.2014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) 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בית המשפט קרא למחוקק לשקול את החמרת הענישה בעבירות נשק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.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בהמשך לכך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בשנת 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2018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תיקן המחוקק את סעיף 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340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א ל</w:t>
      </w:r>
      <w:hyperlink r:id="rId29">
        <w:r>
          <w:rPr>
            <w:rStyle w:val="Hyperlink"/>
            <w:rFonts w:ascii="David" w:hAnsi="David" w:eastAsia="Calibri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 והחמיר את העונש הקבוע בצידה של עבירת ירי מנשק חם 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(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ראו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: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הצעת חוק העונשין 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(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תיקון מס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' 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132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) (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ירי מנשק חם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),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התשע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"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ח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-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2018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ה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"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ח 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1223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).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זאת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כצעד נוסף למלחמה בתופעת השימוש בנשק ופוטנציאל הנזק הכרוך בכך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start="1440" w:end="567"/>
        <w:jc w:val="both"/>
        <w:rPr>
          <w:rFonts w:ascii="David" w:hAnsi="David" w:eastAsia="Calibri" w:cs="David"/>
          <w:b/>
          <w:bCs/>
          <w:spacing w:val="10"/>
          <w:sz w:val="26"/>
          <w:szCs w:val="26"/>
        </w:rPr>
      </w:pP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907" w:leader="none"/>
        </w:tabs>
        <w:overflowPunct w:val="false"/>
        <w:autoSpaceDE w:val="false"/>
        <w:spacing w:lineRule="auto" w:line="360"/>
        <w:ind w:start="1440" w:end="567"/>
        <w:jc w:val="both"/>
        <w:rPr/>
      </w:pP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בהמשך לתיקון זה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בית משפט זה הדגיש בפסיקתו פעם אחר פעם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כי עבירות הנשק הפכו לחזון נפרץ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המביא לעיתים מזומנות לפגיעה בחיי חפים מפשע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.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בהתאם לכך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בית משפט זה שב וקבע כי החמרת הענישה בגין עבירות אלו היא אינטרס ציבורי מהמעלה הראשונה ותנאי הכרחי להרתעת הציבור מפני ביצוען 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(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ראו מיני רבים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: </w:t>
      </w:r>
      <w:hyperlink r:id="rId30">
        <w:r>
          <w:rPr>
            <w:rStyle w:val="Hyperlink"/>
            <w:rFonts w:ascii="David" w:hAnsi="David" w:eastAsia="Calibri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spacing w:val="10"/>
            <w:sz w:val="26"/>
            <w:szCs w:val="26"/>
            <w:u w:val="single"/>
          </w:rPr>
          <w:t>4406/19</w:t>
        </w:r>
      </w:hyperlink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ascii="David" w:hAnsi="David" w:eastAsia="Calibri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eastAsia="Calibri"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eastAsia="Calibri"/>
          <w:b/>
          <w:b/>
          <w:bCs/>
          <w:sz w:val="26"/>
          <w:sz w:val="26"/>
          <w:szCs w:val="26"/>
          <w:rtl w:val="true"/>
        </w:rPr>
        <w:t>סובח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פסקאות 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16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–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17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לחוות דעתי 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(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5.11.2019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); </w:t>
      </w:r>
      <w:hyperlink r:id="rId31">
        <w:r>
          <w:rPr>
            <w:rStyle w:val="Hyperlink"/>
            <w:rFonts w:ascii="David" w:hAnsi="David" w:eastAsia="Calibri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spacing w:val="10"/>
            <w:sz w:val="26"/>
            <w:szCs w:val="26"/>
            <w:u w:val="single"/>
          </w:rPr>
          <w:t>7344/18</w:t>
        </w:r>
      </w:hyperlink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ascii="David" w:hAnsi="David" w:eastAsia="Calibri"/>
          <w:b/>
          <w:b/>
          <w:bCs/>
          <w:sz w:val="26"/>
          <w:sz w:val="26"/>
          <w:szCs w:val="26"/>
          <w:rtl w:val="true"/>
        </w:rPr>
        <w:t>מג</w:t>
      </w:r>
      <w:r>
        <w:rPr>
          <w:rFonts w:eastAsia="Calibri"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 w:eastAsia="Calibri"/>
          <w:b/>
          <w:b/>
          <w:bCs/>
          <w:sz w:val="26"/>
          <w:sz w:val="26"/>
          <w:szCs w:val="26"/>
          <w:rtl w:val="true"/>
        </w:rPr>
        <w:t>יד נ</w:t>
      </w:r>
      <w:r>
        <w:rPr>
          <w:rFonts w:eastAsia="Calibri"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eastAsia="Calibri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פסקה 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10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 (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21.10.2018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)).</w:t>
      </w:r>
    </w:p>
    <w:p>
      <w:pPr>
        <w:pStyle w:val="Normal"/>
        <w:tabs>
          <w:tab w:val="left" w:pos="720" w:leader="none"/>
        </w:tabs>
        <w:overflowPunct w:val="false"/>
        <w:autoSpaceDE w:val="false"/>
        <w:spacing w:lineRule="auto" w:line="360"/>
        <w:ind w:start="851" w:end="851"/>
        <w:jc w:val="both"/>
        <w:rPr>
          <w:rFonts w:ascii="David" w:hAnsi="David" w:eastAsia="Calibri" w:cs="David"/>
          <w:b/>
          <w:bCs/>
          <w:spacing w:val="10"/>
          <w:sz w:val="26"/>
          <w:szCs w:val="26"/>
        </w:rPr>
      </w:pP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907" w:leader="none"/>
        </w:tabs>
        <w:overflowPunct w:val="false"/>
        <w:autoSpaceDE w:val="false"/>
        <w:spacing w:lineRule="auto" w:line="360"/>
        <w:ind w:start="851" w:end="851"/>
        <w:jc w:val="both"/>
        <w:rPr/>
      </w:pP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לגישה מחמירה זו מתווספת חומרה יתירה בענייננו בגין העובדה כי המשיב לא פעל להסגרת הנשק בו השתמש לידי המשטרה עד עצם היום הזה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.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כפי שציינתי בעבר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>כלי נשק אשר אינם נמצאים בידי רשויות החוק עלולים לשמש לפעילות עבריינית המסכנת את שלום וביטחון הציבור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ואף לשרת גורמים עוינים לפעילות על רקע ביטחוני 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(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וראו </w:t>
      </w:r>
      <w:hyperlink r:id="rId32">
        <w:r>
          <w:rPr>
            <w:rStyle w:val="Hyperlink"/>
            <w:rFonts w:ascii="David" w:hAnsi="David" w:eastAsia="Calibri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spacing w:val="10"/>
            <w:sz w:val="26"/>
            <w:szCs w:val="26"/>
            <w:u w:val="single"/>
          </w:rPr>
          <w:t>4530/19</w:t>
        </w:r>
      </w:hyperlink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ascii="David" w:hAnsi="David" w:eastAsia="Calibri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eastAsia="Calibri"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 w:eastAsia="Calibri"/>
          <w:b/>
          <w:b/>
          <w:bCs/>
          <w:sz w:val="26"/>
          <w:sz w:val="26"/>
          <w:szCs w:val="26"/>
          <w:rtl w:val="true"/>
        </w:rPr>
        <w:t>זאווי נ</w:t>
      </w:r>
      <w:r>
        <w:rPr>
          <w:rFonts w:eastAsia="Calibri"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eastAsia="Calibri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 w:eastAsia="Calibri"/>
          <w:b/>
          <w:b/>
          <w:bCs/>
          <w:spacing w:val="10"/>
          <w:sz w:val="26"/>
          <w:sz w:val="26"/>
          <w:szCs w:val="26"/>
          <w:rtl w:val="true"/>
        </w:rPr>
        <w:t xml:space="preserve">פסקה 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12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 xml:space="preserve"> (</w:t>
      </w:r>
      <w:r>
        <w:rPr>
          <w:rFonts w:eastAsia="Calibri" w:cs="David" w:ascii="David" w:hAnsi="David"/>
          <w:b/>
          <w:bCs/>
          <w:spacing w:val="10"/>
          <w:sz w:val="26"/>
          <w:szCs w:val="26"/>
        </w:rPr>
        <w:t>11.8.2019</w:t>
      </w:r>
      <w:r>
        <w:rPr>
          <w:rFonts w:eastAsia="Calibri" w:cs="David" w:ascii="David" w:hAnsi="David"/>
          <w:b/>
          <w:bCs/>
          <w:spacing w:val="10"/>
          <w:sz w:val="26"/>
          <w:szCs w:val="26"/>
          <w:rtl w:val="true"/>
        </w:rPr>
        <w:t>))".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eastAsia="Calibri" w:cs="Arial"/>
          <w:b/>
          <w:bCs/>
          <w:spacing w:val="10"/>
          <w:sz w:val="26"/>
          <w:szCs w:val="26"/>
        </w:rPr>
      </w:pPr>
      <w:r>
        <w:rPr>
          <w:rFonts w:eastAsia="Calibri" w:cs="Arial" w:ascii="Arial" w:hAnsi="Arial"/>
          <w:b/>
          <w:bCs/>
          <w:spacing w:val="10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הפסיקה הנוהגת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הפנה לפסק הדין ב</w:t>
      </w:r>
      <w:hyperlink r:id="rId3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500/21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31.5.21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בו עמד בית המשפט על מגמת הפסיקה להחמיר בעבירות הנשק ועל הצורך להחמיר עוד יותר 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בהעידנא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משרבו עבירות הנשק במגזר הערבי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ועל בתי המשפט לתרום תרומתם במלחמת החורמה שהוכרזה על התופעה</w:t>
      </w:r>
      <w:r>
        <w:rPr>
          <w:rFonts w:cs="Arial" w:ascii="Arial" w:hAnsi="Arial"/>
          <w:b/>
          <w:bCs/>
          <w:sz w:val="26"/>
          <w:szCs w:val="26"/>
          <w:rtl w:val="true"/>
        </w:rPr>
        <w:t>".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הוא הפנה גם לע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 </w:t>
      </w:r>
      <w:hyperlink r:id="rId34"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2733/0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 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בשיר אבו זיאד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24.10.21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בו נדחה ערעורם של מי שנדונו לעונשי מאסר לתקופות של 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8.5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בנוסף למאסרים מותנים וקנסות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בגין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עסקאות נשק ותחמושת רבות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עם גורמים שונים בתחומי המדינה ומחוצה 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לרבות עם גורמים בשטחי איו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מדובר עסקאות רכישה ומכירה של דמוי תמ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ק מסוג קרלו ואקדח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מכירה של אלפי קליעים המשמשים תחמושת לרובי סעד </w:t>
      </w:r>
      <w:r>
        <w:rPr>
          <w:rFonts w:cs="Arial" w:ascii="Arial" w:hAnsi="Arial"/>
          <w:sz w:val="26"/>
          <w:szCs w:val="26"/>
        </w:rPr>
        <w:t>M-16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וחלקים של רובים מסוג זה שנמכרו לגורמים שונים בחברון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כאשר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עמד בקשר שיטתי עם אותם גורמים והוביל את אמצעי הלחימה ברכבו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מערער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מכר למערער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אלפי קליעים ובחלק מהמקרים נסע איתו לחברון לצורך מכירת התחמושת לאחרים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החזיק בביתו כוונת טלסקופית וסמן לייזר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ביצע מספר עסקאות רכישה ומכירה של כלי נשק שונים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בהם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קרלו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ומספר אקדחים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  <w:r>
        <w:rPr>
          <w:rFonts w:ascii="Arial" w:hAnsi="Arial" w:cs="Arial"/>
          <w:sz w:val="26"/>
          <w:sz w:val="26"/>
          <w:szCs w:val="26"/>
          <w:rtl w:val="true"/>
        </w:rPr>
        <w:t>בבית המשפט המחוזי נקבע כי המערערים חסרו בנשק ובאמל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ח דבר יום ביומו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ואימצו את עבירות הנשק כאורח חיים ממניעים של בצע כסף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הם סחרו בסוגים שונים של נשק ואמל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והובילו אותם כשהם מוחבאים ברכבם דרך מחסומי המעבר לתוך תחומי איו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ובית המשפט העליון הגדיר את מעשיהם כ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מפעל סחר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בכלי נשק ותחמושת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הערעור נדחה</w:t>
      </w:r>
      <w:r>
        <w:rPr>
          <w:rFonts w:cs="Arial" w:ascii="Arial" w:hAnsi="Arial"/>
          <w:sz w:val="26"/>
          <w:szCs w:val="26"/>
          <w:rtl w:val="true"/>
        </w:rPr>
        <w:t xml:space="preserve">.  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הפנה למספר פסקי דין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אפרט חלק מהם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hyperlink r:id="rId3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8869/21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אברהים קואסמה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13.3.22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המשיב הורשע ב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אישומים שעניינם עסקאות סחר בנשק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בהתייחס לנשק מסוג </w:t>
      </w:r>
      <w:r>
        <w:rPr>
          <w:rFonts w:cs="Arial" w:ascii="Arial" w:hAnsi="Arial"/>
          <w:sz w:val="26"/>
          <w:szCs w:val="26"/>
        </w:rPr>
        <w:t>M-16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בבית המשפט המחוזי נדון המשיב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ובית המשפט העליון החמיר בעונשו ל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42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הבהרה שערכאת הערעור אינה ממצה את הדין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hyperlink r:id="rId3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8045/17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מחמוד בראנסי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וערעורים נוספים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16.8.18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הסניגור הפנה לפסק הדין המתייחס למערער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הורשע ב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אישומים שעניינם עסקאות בנשק ועבירות סמים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שנת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מהן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בגין עבירות הנשק ושנתיים בגין עבירות הסמים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hyperlink r:id="rId37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4154/16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sz w:val="26"/>
          <w:sz w:val="26"/>
          <w:szCs w:val="26"/>
          <w:rtl w:val="true"/>
        </w:rPr>
        <w:t xml:space="preserve">רונן דהוד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19.1.17</w:t>
      </w:r>
      <w:r>
        <w:rPr>
          <w:rFonts w:cs="Arial" w:ascii="Arial" w:hAnsi="Arial"/>
          <w:sz w:val="26"/>
          <w:szCs w:val="26"/>
          <w:rtl w:val="true"/>
        </w:rPr>
        <w:t>)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הורשע בשני אישומים שכל אחד מהם כלל עבירות סחר בנשק ועבירות נשק נוספות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מדובר בשתי עסקאות מכירה לסוכן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באישום אחד נמכר אקדח ובאישום השני רובה ציד מאולתר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45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מאסר על תנאי וקנס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נקבע מתחם בין שנתיים לחמש שנות מאסר לכל אחד מהאישומים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הערעור נדחה תוך שבית המשפט העליון עמד על כך שלא ניתן להשלים עם קיומו של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שוק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מחתרתי בלתי חוקי למכירת כלי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וגדיעתו של שוק זה היא תנאי הכרחי למיגור מעשי אלימות חמורים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hyperlink r:id="rId3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מרכז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41838-09-20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יוסף חיים פרץ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5.7.21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הורשע בהסדר טיעון ב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עבירות סחר בנשק ועבירות נשק נוספות וכן בעבירות סמים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הוא נדון לעונש מוסכם של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של מאסר בפועל ועונשים נלווים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אפנה לפסקי דין נוספים בעבירות דומות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hyperlink r:id="rId3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8280/15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מוחמד 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ולאני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–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הורשע בסיוע לעסקה בנשק ובהחזקת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בכך שהיה מעורב עם אחרים בעסקה בה נמכרו לסוכן משטרתי שני רובים ואקדח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בין </w:t>
      </w: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מאסר על תנאי וקנס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וערעור על חומרת העונש נדחה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hyperlink r:id="rId4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2422/14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עלי ח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דר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הורשע בעבירה של סחר בנשק במכירת רובה מסוג קרל גוסטב לסוכן משטרתי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וערעורו נדחה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sz w:val="26"/>
          <w:szCs w:val="26"/>
        </w:rPr>
      </w:pPr>
      <w:hyperlink r:id="rId4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חיפה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</w:rPr>
          <w:t>4664-01-20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חליל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אגבריה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22.7.20</w:t>
      </w:r>
      <w:r>
        <w:rPr>
          <w:sz w:val="26"/>
          <w:szCs w:val="26"/>
          <w:rtl w:val="true"/>
        </w:rPr>
        <w:t xml:space="preserve">) –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14-21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ובהודאה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ולקיחת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והמשפחתי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המורכב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sz w:val="26"/>
          <w:szCs w:val="26"/>
        </w:rPr>
      </w:pPr>
      <w:hyperlink r:id="rId4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ירושלים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</w:rPr>
          <w:t>35684-04-18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פריד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שחאדה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1.5.19</w:t>
      </w:r>
      <w:r>
        <w:rPr>
          <w:sz w:val="26"/>
          <w:szCs w:val="26"/>
          <w:rtl w:val="true"/>
        </w:rPr>
        <w:t xml:space="preserve">) –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M</w:t>
      </w:r>
      <w:r>
        <w:rPr>
          <w:sz w:val="26"/>
          <w:szCs w:val="26"/>
        </w:rPr>
        <w:t>-16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28-60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תיווך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80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סער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התיווך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רלוונטית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ם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5433-05-21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hyperlink r:id="rId43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אנס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זחאיקה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10.2.22</w:t>
      </w:r>
      <w:r>
        <w:rPr>
          <w:sz w:val="26"/>
          <w:szCs w:val="26"/>
          <w:rtl w:val="true"/>
        </w:rPr>
        <w:t xml:space="preserve">); </w:t>
      </w:r>
      <w:hyperlink r:id="rId4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37047-07-20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רמזי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אטרש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15.7.21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ירושלים</w:t>
      </w:r>
      <w:r>
        <w:rPr>
          <w:sz w:val="26"/>
          <w:szCs w:val="26"/>
          <w:rtl w:val="true"/>
        </w:rPr>
        <w:t xml:space="preserve">) </w:t>
      </w:r>
      <w:hyperlink r:id="rId45">
        <w:r>
          <w:rPr>
            <w:rStyle w:val="Hyperlink"/>
            <w:color w:val="0000FF"/>
            <w:sz w:val="26"/>
            <w:szCs w:val="26"/>
            <w:u w:val="single"/>
          </w:rPr>
          <w:t>15842-11-20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 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דאוד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חושיה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23.12.21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בענייננו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קיומם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זמינים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כקונה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להפצתם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ליעדים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לאומני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תמורת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במלואו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בסכומים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מאידך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גיסא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היוזמה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ומתיאור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הרוכשים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המתוארים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המתוארים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להוצאתו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ולצמצום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הנזכרים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מבטאים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סמוכים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וזהים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5-8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בצירוף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לנאשם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בעיקרו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להודאה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הפורמלית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תחילתה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ויכולת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לתפקוד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ינצל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לקידומו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הישר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להלן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sz w:val="26"/>
          <w:szCs w:val="26"/>
        </w:rPr>
      </w:pPr>
      <w:r>
        <w:rPr>
          <w:color w:val="FFFFFF"/>
          <w:sz w:val="2"/>
          <w:szCs w:val="2"/>
        </w:rPr>
        <w:t>5129371</w:t>
      </w: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15.7.22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  <w:r>
        <w:rPr>
          <w:color w:val="FFFFFF"/>
          <w:sz w:val="2"/>
          <w:szCs w:val="2"/>
          <w:rtl w:val="true"/>
        </w:rPr>
        <w:t xml:space="preserve"> 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אפריל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47"/>
      <w:footerReference w:type="default" r:id="rId4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16161-04-21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ולאני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10.a" TargetMode="External"/><Relationship Id="rId8" Type="http://schemas.openxmlformats.org/officeDocument/2006/relationships/hyperlink" Target="http://www.nevo.co.il/law/5227/38" TargetMode="External"/><Relationship Id="rId9" Type="http://schemas.openxmlformats.org/officeDocument/2006/relationships/hyperlink" Target="http://www.nevo.co.il/law/5227/308.d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5227/10.a" TargetMode="External"/><Relationship Id="rId20" Type="http://schemas.openxmlformats.org/officeDocument/2006/relationships/hyperlink" Target="http://www.nevo.co.il/law/5227" TargetMode="External"/><Relationship Id="rId21" Type="http://schemas.openxmlformats.org/officeDocument/2006/relationships/hyperlink" Target="http://www.nevo.co.il/law/5227/38" TargetMode="External"/><Relationship Id="rId22" Type="http://schemas.openxmlformats.org/officeDocument/2006/relationships/hyperlink" Target="http://www.nevo.co.il/law/5227/308.d" TargetMode="External"/><Relationship Id="rId23" Type="http://schemas.openxmlformats.org/officeDocument/2006/relationships/hyperlink" Target="http://www.nevo.co.il/case/21474520" TargetMode="External"/><Relationship Id="rId24" Type="http://schemas.openxmlformats.org/officeDocument/2006/relationships/hyperlink" Target="http://www.nevo.co.il/case/5594979" TargetMode="External"/><Relationship Id="rId25" Type="http://schemas.openxmlformats.org/officeDocument/2006/relationships/hyperlink" Target="http://www.nevo.co.il/case/5764932" TargetMode="External"/><Relationship Id="rId26" Type="http://schemas.openxmlformats.org/officeDocument/2006/relationships/hyperlink" Target="http://www.nevo.co.il/case/5724364" TargetMode="External"/><Relationship Id="rId27" Type="http://schemas.openxmlformats.org/officeDocument/2006/relationships/hyperlink" Target="http://www.nevo.co.il/case/27915710" TargetMode="External"/><Relationship Id="rId28" Type="http://schemas.openxmlformats.org/officeDocument/2006/relationships/hyperlink" Target="http://www.nevo.co.il/case/7697292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25824863" TargetMode="External"/><Relationship Id="rId31" Type="http://schemas.openxmlformats.org/officeDocument/2006/relationships/hyperlink" Target="http://www.nevo.co.il/case/25063920" TargetMode="External"/><Relationship Id="rId32" Type="http://schemas.openxmlformats.org/officeDocument/2006/relationships/hyperlink" Target="http://www.nevo.co.il/case/25836997" TargetMode="External"/><Relationship Id="rId33" Type="http://schemas.openxmlformats.org/officeDocument/2006/relationships/hyperlink" Target="http://www.nevo.co.il/case/27347604" TargetMode="External"/><Relationship Id="rId34" Type="http://schemas.openxmlformats.org/officeDocument/2006/relationships/hyperlink" Target="http://www.nevo.co.il/case/26630169" TargetMode="External"/><Relationship Id="rId35" Type="http://schemas.openxmlformats.org/officeDocument/2006/relationships/hyperlink" Target="http://www.nevo.co.il/case/28200855" TargetMode="External"/><Relationship Id="rId36" Type="http://schemas.openxmlformats.org/officeDocument/2006/relationships/hyperlink" Target="http://www.nevo.co.il/case/23750625" TargetMode="External"/><Relationship Id="rId37" Type="http://schemas.openxmlformats.org/officeDocument/2006/relationships/hyperlink" Target="http://www.nevo.co.il/case/21474520" TargetMode="External"/><Relationship Id="rId38" Type="http://schemas.openxmlformats.org/officeDocument/2006/relationships/hyperlink" Target="http://www.nevo.co.il/case/27012810" TargetMode="External"/><Relationship Id="rId39" Type="http://schemas.openxmlformats.org/officeDocument/2006/relationships/hyperlink" Target="http://www.nevo.co.il/case/20775010" TargetMode="External"/><Relationship Id="rId40" Type="http://schemas.openxmlformats.org/officeDocument/2006/relationships/hyperlink" Target="http://www.nevo.co.il/case/13090914" TargetMode="External"/><Relationship Id="rId41" Type="http://schemas.openxmlformats.org/officeDocument/2006/relationships/hyperlink" Target="http://www.nevo.co.il/case/26327799" TargetMode="External"/><Relationship Id="rId42" Type="http://schemas.openxmlformats.org/officeDocument/2006/relationships/hyperlink" Target="http://www.nevo.co.il/case/23877236" TargetMode="External"/><Relationship Id="rId43" Type="http://schemas.openxmlformats.org/officeDocument/2006/relationships/hyperlink" Target="http://www.nevo.co.il/case/27651336" TargetMode="External"/><Relationship Id="rId44" Type="http://schemas.openxmlformats.org/officeDocument/2006/relationships/hyperlink" Target="http://www.nevo.co.il/case/26850562" TargetMode="External"/><Relationship Id="rId45" Type="http://schemas.openxmlformats.org/officeDocument/2006/relationships/hyperlink" Target="http://www.nevo.co.il/case/29101885" TargetMode="External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2023-05-08T09:09:00Z</dcterms:created>
  <dc:creator> </dc:creator>
  <dc:description/>
  <cp:keywords/>
  <dc:language>en-IL</dc:language>
  <cp:lastModifiedBy>h1</cp:lastModifiedBy>
  <dcterms:modified xsi:type="dcterms:W3CDTF">2023-05-08T09:09:00Z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ג'ולאני;חמזה קוואסמי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21474520:2;5594979;5764932;5724364;27915710;7697292;25824863;25063920;25836997;27347604;26630169;28200855;23750625;27012810;20775010;13090914;26327799;23877236;27651336;26850562;29101885</vt:lpwstr>
  </property>
  <property fmtid="{D5CDD505-2E9C-101B-9397-08002B2CF9AE}" pid="9" name="CITY">
    <vt:lpwstr>י-ם</vt:lpwstr>
  </property>
  <property fmtid="{D5CDD505-2E9C-101B-9397-08002B2CF9AE}" pid="10" name="DATE">
    <vt:lpwstr>20220412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חגית מאק קלמנוביץ</vt:lpwstr>
  </property>
  <property fmtid="{D5CDD505-2E9C-101B-9397-08002B2CF9AE}" pid="14" name="LAWLISTTMP1">
    <vt:lpwstr>70301/144.b2:3;144.b:2;029</vt:lpwstr>
  </property>
  <property fmtid="{D5CDD505-2E9C-101B-9397-08002B2CF9AE}" pid="15" name="LAWLISTTMP2">
    <vt:lpwstr>5227/010.a;038;308.d</vt:lpwstr>
  </property>
  <property fmtid="{D5CDD505-2E9C-101B-9397-08002B2CF9AE}" pid="16" name="LAWYER">
    <vt:lpwstr>סאהר עלי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16161</vt:lpwstr>
  </property>
  <property fmtid="{D5CDD505-2E9C-101B-9397-08002B2CF9AE}" pid="23" name="NEWPARTB">
    <vt:lpwstr>04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390020220412</vt:lpwstr>
  </property>
  <property fmtid="{D5CDD505-2E9C-101B-9397-08002B2CF9AE}" pid="35" name="TYPE_N_DATE">
    <vt:lpwstr>39020220412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