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16190-05-23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אלנשמי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יובל ליבדרו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היבא טבאג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עואד אלנשמי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ויקטור אוזן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במסגרת הסדר טיעון בכתב אישום 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כתב האישום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בעבירות של נשיאה הובלת נשק ומחסניות תוך </w:t>
      </w:r>
      <w:r>
        <w:rPr>
          <w:rFonts w:ascii="Arial" w:hAnsi="Arial" w:cs="Arial"/>
          <w:rtl w:val="true"/>
        </w:rPr>
        <w:t>הסתייעות ברכב לביצוע פשע או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לפי </w:t>
      </w:r>
      <w:hyperlink r:id="rId5">
        <w:r>
          <w:rPr>
            <w:rStyle w:val="Hyperlink"/>
            <w:rFonts w:ascii="Arial" w:hAnsi="Arial" w:cs="Arial"/>
            <w:color w:val="0000FF"/>
            <w:rtl w:val="true"/>
          </w:rPr>
          <w:t>סעיפים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–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</w:t>
      </w:r>
      <w:bookmarkStart w:id="8" w:name="ABSTRACT_END"/>
      <w:bookmarkEnd w:id="8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פקודת התעבורה</w:t>
      </w:r>
      <w:r>
        <w:rPr>
          <w:rFonts w:cs="Arial" w:ascii="Arial" w:hAnsi="Arial"/>
          <w:rtl w:val="true"/>
        </w:rPr>
        <w:t>").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hanging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8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₪ </w:t>
      </w:r>
      <w:r>
        <w:rPr>
          <w:rtl w:val="true"/>
        </w:rPr>
        <w:t>שישול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03.06.2024</w:t>
      </w:r>
      <w:r>
        <w:rPr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"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לנדקרוזר</w:t>
      </w:r>
      <w:r>
        <w:rPr>
          <w:rtl w:val="true"/>
        </w:rPr>
        <w:t xml:space="preserve">", </w:t>
      </w:r>
      <w:r>
        <w:rPr/>
        <w:t>84-888-58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שחר</w:t>
      </w:r>
      <w:r>
        <w:rPr>
          <w:rtl w:val="true"/>
        </w:rPr>
        <w:t>ו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8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8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568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20.4.2023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עידן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04:50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לנדקרוזר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זאוור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;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זוואר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568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8" w:end="0"/>
        <w:jc w:val="both"/>
        <w:rPr/>
      </w:pPr>
      <w:r>
        <w:rPr>
          <w:rtl w:val="true"/>
        </w:rPr>
        <w:tab/>
      </w:r>
      <w:r>
        <w:rPr>
          <w:rFonts w:ascii="David" w:hAnsi="David" w:eastAsia="David"/>
          <w:b/>
          <w:b/>
          <w:bCs/>
          <w:u w:val="single"/>
          <w:rtl w:val="true"/>
        </w:rPr>
        <w:t>עדי ההגנה לעונש</w:t>
      </w:r>
    </w:p>
    <w:p>
      <w:pPr>
        <w:pStyle w:val="Normal"/>
        <w:spacing w:lineRule="auto" w:line="360"/>
        <w:ind w:hanging="568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Fonts w:ascii="David" w:hAnsi="David" w:eastAsia="David"/>
          <w:rtl w:val="true"/>
        </w:rPr>
        <w:t>הנאשם העיד לעונש את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קרוב 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מר סלימאן אפריג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/>
          <w:rtl w:val="true"/>
        </w:rPr>
        <w:t>את ואת בנו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מר עללא אלנאשמי</w:t>
      </w:r>
      <w:r>
        <w:rPr>
          <w:rFonts w:eastAsia="David"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b/>
          <w:b/>
          <w:bCs/>
          <w:rtl w:val="true"/>
        </w:rPr>
        <w:t>מר אפריג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את</w:t>
      </w:r>
      <w:r>
        <w:rPr>
          <w:rFonts w:ascii="David" w:hAnsi="David" w:eastAsia="David"/>
          <w:rtl w:val="true"/>
        </w:rPr>
        <w:t xml:space="preserve"> מסר שהוא משמש כמנהל בית ספר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גר בשכנות לנאשם וכי הם בקשרי חברות מילדות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בהמשך הוסיף כי הנאשם חי במצוקה כלכלית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הוא מגדל ילד שסובל מנכות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הוא המפרנס היחידי במשפחתו וכי אשתו ומשפחתו מתקיימים מקצבאות ביטוח לאומי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הוסיף כי לנאשם משפחה גדולה וכי הוא דוחף את ילדיו ללמוד ולהצליח על מנת שלא יסטו מהדרך ויגיעו למצבו וביקש מבית המשפט להקל בעונשו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b/>
          <w:b/>
          <w:bCs/>
          <w:rtl w:val="true"/>
        </w:rPr>
        <w:t>מר אלנאשמי</w:t>
      </w:r>
      <w:r>
        <w:rPr>
          <w:rFonts w:ascii="David" w:hAnsi="David" w:eastAsia="David"/>
          <w:rtl w:val="true"/>
        </w:rPr>
        <w:t xml:space="preserve"> מסר כי הנאשם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>אביו עזר להם רבות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הוא תרם לו כבד וכתוצאה מכך מצבו הבריאותי התדרדר וביקש מבית המשפט ירחם עליו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8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ascii="David" w:hAnsi="David" w:eastAsia="David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₪ </w:t>
      </w:r>
      <w:r>
        <w:rPr>
          <w:rtl w:val="true"/>
        </w:rPr>
        <w:t>בפריסה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"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לנדקרוזר</w:t>
      </w:r>
      <w:r>
        <w:rPr>
          <w:rtl w:val="true"/>
        </w:rPr>
        <w:t xml:space="preserve">", </w:t>
      </w:r>
      <w:r>
        <w:rPr/>
        <w:t>84-888-58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שחר</w:t>
      </w:r>
      <w:r>
        <w:rPr>
          <w:rtl w:val="true"/>
        </w:rPr>
        <w:t>ו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ascii="David" w:hAnsi="David" w:eastAsia="David"/>
          <w:rtl w:val="true"/>
        </w:rPr>
        <w:t>לפוטנציאל הנזק המשמעותי שהיה יכול להיגרם אילו הנשקים היו מגיעים ליעדם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המאשימה הפנתה למגמת ההחמרה בפסיקה בעבירות הנשק ולעברו הפלילי של הנאשם לרבות בעבירות דומות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לצד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המאשימה עמדה על הקושי לאתר פסיקה שתשקף את הענישה הנוהגת בעבירה של נשיאה והובלת נשק בהיקף שכזה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>.</w:t>
        <w:tab/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כ הנאשם</w:t>
      </w:r>
      <w:r>
        <w:rPr>
          <w:rFonts w:ascii="David" w:hAnsi="David" w:eastAsia="David"/>
          <w:rtl w:val="true"/>
        </w:rPr>
        <w:t xml:space="preserve"> טען כי מתחם העונש ההולם נע בין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שנות מאסר ועתר לעונש של 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וחצי וענישה נלווית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לעניין פסילת רישיון הנהיגה בפועל טען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כי מקובל להסתפק בפסילת רישיון נהיגה על תנאי כאשר לצד פסילת רישיון הנהיגה מוטל על הנאשם גם עונש של מאסר לתקופה ממושכת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הפנה בטיעוניו לקשיים הראייתיים שבעטיים הושג ההסדר ותוקן כתב האישום באופן משמעותי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לכך שבענייננו אין מדובר בתכנון מפורט שכלל תצפיות או סיורים כמקובל במקרים דומים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אף שהסכים שהנאשם קיבל את כלי הנשק מאחר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ascii="David" w:hAnsi="David" w:eastAsia="David"/>
          <w:rtl w:val="true"/>
        </w:rPr>
        <w:t>לכך שהנאשם לא נתפס בגבול או ליד הגבול ולא ניהל שיחות טלפון או תיאם עם אף גורם אחר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לכך שהוא לא יזם את האירוע ולא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הפיקו</w:t>
      </w:r>
      <w:r>
        <w:rPr>
          <w:rFonts w:eastAsia="David" w:cs="David" w:ascii="David" w:hAnsi="David"/>
          <w:rtl w:val="true"/>
        </w:rPr>
        <w:t xml:space="preserve">"; </w:t>
      </w:r>
      <w:r>
        <w:rPr>
          <w:rFonts w:ascii="David" w:hAnsi="David" w:eastAsia="David"/>
          <w:rtl w:val="true"/>
        </w:rPr>
        <w:t>ולמצבו הכלכלי הקשה של הנאשם אשר הביאו לבצע את העבירה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כן הפנה לנסיבותיו האישיות והמשפחתיות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לגילו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50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למצבו המשפחתי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אב לעשרה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למצבו הבריאותי הקשה שהלך והתדרדר לאחר שתרם חלק מהכבד לבנו שנזקק להשתלת כבד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שהוא סובל מ</w:t>
      </w:r>
      <w:r>
        <w:rPr>
          <w:rFonts w:eastAsia="David" w:cs="David" w:ascii="David" w:hAnsi="David"/>
        </w:rPr>
        <w:t>60%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נכות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למצבו הכלכלי הקשה ולכך שמשפחתו מתקיימת מקצבאות הביטוח הלאומי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צרף פסיקה לתמיכה בעמדתו העונשית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שהטעים שמדובר במקרים שבהם הנאשמים הורשעו בעבירות ייבוא סמים מסוכנים ועבירות נוספות שלהן קדם תכנון משמעותי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. </w:t>
        <w:tab/>
      </w:r>
      <w:r>
        <w:rPr>
          <w:rFonts w:ascii="David" w:hAnsi="David" w:eastAsia="David"/>
          <w:b/>
          <w:b/>
          <w:bCs/>
          <w:rtl w:val="true"/>
        </w:rPr>
        <w:t>הנאשם</w:t>
      </w:r>
      <w:r>
        <w:rPr>
          <w:rFonts w:ascii="David" w:hAnsi="David" w:eastAsia="David"/>
          <w:rtl w:val="true"/>
        </w:rPr>
        <w:t xml:space="preserve"> אמר את דברו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מסר כי אינו מקל ראש בעבירה שעבר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הוא יודע שהוא עשה טעות וגם כשעבר את העבירה הוא ידע שילדיו יכולים להיפגע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השתחרר לפני כ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מהכלא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עבד בעבר כקבלן משנה באספקת פועלים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הבן שלו חלה והוא תרם לו חלק מהכבד שלו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מאז ניתוח התרומה מצבו הרפואי התדרדר והוא מקבל טיפול תרופתי וכי אינו עובד משנת </w:t>
      </w:r>
      <w:r>
        <w:rPr>
          <w:rFonts w:eastAsia="David" w:cs="David" w:ascii="David" w:hAnsi="David"/>
        </w:rPr>
        <w:t>2018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ביקש מבית המשפט שיעזור לו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>.</w:t>
        <w:tab/>
      </w:r>
      <w:r>
        <w:rPr>
          <w:rFonts w:ascii="David" w:hAnsi="David" w:eastAsia="David"/>
          <w:rtl w:val="true"/>
        </w:rPr>
        <w:t xml:space="preserve">בענייננו הציגו הצדדים הסדר מסוג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הסדר טווח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 xml:space="preserve">במסגרתו המאשימה הגבילה את טיעוניה לעונש של 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ואילו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טען באופן חופשי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ועתר לעונש של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וחצי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 xml:space="preserve">בפסיקת בית המשפט העליון קיימות גישות שונות ביחס לשאלה האם במסגרת הסדר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טווח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פטור בית המשפט מחובתו לקבוע מתחם עונש הולם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קיימת גישה לפיה קביעת מתחם עונש הולם על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ידי בית המשפט היא אמירה נורמטיבית של בית המשפט אשר צריכה להיאמר ללא קשר להסדר שבין הצדדים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מאידך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קיימת גישה לפיה בנסיבות דומות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של הסדר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טווח</w:t>
      </w:r>
      <w:r>
        <w:rPr>
          <w:rFonts w:eastAsia="David" w:cs="David" w:ascii="David" w:hAnsi="David"/>
          <w:rtl w:val="true"/>
        </w:rPr>
        <w:t xml:space="preserve">", </w:t>
      </w:r>
      <w:r>
        <w:rPr>
          <w:rFonts w:ascii="David" w:hAnsi="David" w:eastAsia="David"/>
          <w:rtl w:val="true"/>
        </w:rPr>
        <w:t>אין מקום לקביעת מתחם עונש הולם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לעניין הגישות השונות ראו למשל </w:t>
      </w:r>
      <w:hyperlink r:id="rId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8109/15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b/>
          <w:b/>
          <w:bCs/>
          <w:rtl w:val="true"/>
        </w:rPr>
        <w:t>אביטן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פורסם בנבו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09.06.2016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לצד אל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קיימת גם גישת ביניים לפיה במקרים </w:t>
      </w:r>
      <w:r>
        <w:rPr>
          <w:rFonts w:ascii="David" w:hAnsi="David" w:eastAsia="David"/>
          <w:rtl w:val="true"/>
        </w:rPr>
        <w:t>דומים</w:t>
      </w:r>
      <w:r>
        <w:rPr>
          <w:rFonts w:ascii="David" w:hAnsi="David" w:eastAsia="David"/>
          <w:rtl w:val="true"/>
        </w:rPr>
        <w:t xml:space="preserve"> אין צורך בהרחבה ובפירוט של מתחם העונש ההולם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צורך שכזה יכול לקום בעיקר עת מוצא בית המשפט להטיל עונש שסוטה מהעונש המוסכם או שנמצא הוא מחוץ לטווח המוסכם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בעניין זה ראו למשל </w:t>
      </w:r>
      <w:hyperlink r:id="rId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6943/16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גלקין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פורסם בנבו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28.01.2018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סבורני כי נוכח אופיו של ההסדר והעובדה שהעונש שאותו מצאתי להטיל על הנאשם אינו חורג מטווח הענישה המוסכם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אין הכרח לשרטט במדויק את גבולות מתחם העונש ההולם</w:t>
      </w:r>
      <w:r>
        <w:rPr>
          <w:rFonts w:ascii="David" w:hAnsi="David" w:eastAsia="David"/>
          <w:rtl w:val="true"/>
        </w:rPr>
        <w:t xml:space="preserve"> אף שלטעמי המתחם שאותו הציע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עד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הוא אינו הולם את האירוע מושא 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ולמעשה הרף התחתון של מתחם העונש ההולם צריך להיות מחמיר במקצת מהרף העליון של המתחם שהציע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אחר כל האמור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פטור בלא כלום אי אפשר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ולהלן אעמוד על השיקולים אשר על דרך כלל מנחים את בית המשפט גם בקביעת מתחם העונש ההולם והעונש הראוי שבגדריו</w:t>
      </w:r>
      <w:r>
        <w:rPr>
          <w:rFonts w:eastAsia="David" w:cs="David" w:ascii="David" w:hAnsi="David"/>
          <w:rtl w:val="true"/>
        </w:rPr>
        <w:t>.</w:t>
      </w:r>
    </w:p>
    <w:p>
      <w:pPr>
        <w:pStyle w:val="ruller40"/>
        <w:bidi w:val="1"/>
        <w:spacing w:lineRule="atLeast" w:line="360" w:before="0" w:after="0"/>
        <w:ind w:end="0"/>
        <w:jc w:val="both"/>
        <w:rPr>
          <w:rFonts w:ascii="Garamond" w:hAnsi="Garamond" w:eastAsia="David" w:cs="Garamond"/>
          <w:color w:val="000000"/>
          <w:spacing w:val="10"/>
          <w:sz w:val="27"/>
          <w:szCs w:val="27"/>
        </w:rPr>
      </w:pPr>
      <w:r>
        <w:rPr>
          <w:rFonts w:eastAsia="David" w:cs="Garamond" w:ascii="Garamond" w:hAnsi="Garamond"/>
          <w:color w:val="000000"/>
          <w:spacing w:val="10"/>
          <w:sz w:val="27"/>
          <w:szCs w:val="27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פגע </w:t>
      </w:r>
      <w:r>
        <w:rPr>
          <w:rFonts w:ascii="Arial" w:hAnsi="Arial" w:cs="Arial"/>
          <w:rtl w:val="true"/>
        </w:rPr>
        <w:t xml:space="preserve">במעשיו </w:t>
      </w:r>
      <w:r>
        <w:rPr>
          <w:rFonts w:ascii="Arial" w:hAnsi="Arial" w:cs="Arial"/>
          <w:rtl w:val="true"/>
        </w:rPr>
        <w:t>בערכים של שמירה על שלום הציבור ובטחונו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הגנה על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שלטון החוק והסדר הציבורי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ניסיון החיים במציאות הישראלית מלמד כי ישנו בסיס מוצק לחשש כי נשק שהוחזק או הובל באופן לא חוקי יימצא בסופו של יום בידי גורמים עברייניים או </w:t>
      </w:r>
      <w:r>
        <w:rPr>
          <w:rFonts w:ascii="Arial" w:hAnsi="Arial" w:cs="Arial"/>
          <w:rtl w:val="true"/>
        </w:rPr>
        <w:t>חבלניים</w:t>
      </w:r>
      <w:r>
        <w:rPr>
          <w:rFonts w:ascii="Arial" w:hAnsi="Arial" w:cs="Arial"/>
          <w:rtl w:val="true"/>
        </w:rPr>
        <w:t xml:space="preserve"> שיעשו בו </w:t>
      </w:r>
      <w:r>
        <w:rPr>
          <w:rFonts w:ascii="Arial" w:hAnsi="Arial" w:cs="Arial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שימוש לפגיעה בגוף ובנפש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הגידול המדאיג בעבירות האלימות הקשורות בנשק לא חוקי והעליה במספר הקורבנות בנפש לרבות של חפים מפשע בחברה הישראלית ובחברה הערבית בפרט הובילו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הכרזת מלחמה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המחוקק ויתר גורמי האכיפה בתופעות קשות אלו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לעניין זה ראו למשל</w:t>
      </w:r>
      <w:r>
        <w:rPr>
          <w:rFonts w:ascii="David" w:hAnsi="David" w:eastAsia="David"/>
          <w:rtl w:val="true"/>
        </w:rPr>
        <w:t xml:space="preserve"> 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Cs/>
          <w:rtl w:val="true"/>
        </w:rPr>
        <w:t>ג</w:t>
      </w:r>
      <w:r>
        <w:rPr>
          <w:rFonts w:eastAsia="David" w:cs="David" w:ascii="David" w:hAnsi="David"/>
          <w:bCs/>
          <w:rtl w:val="true"/>
        </w:rPr>
        <w:t>'</w:t>
      </w:r>
      <w:r>
        <w:rPr>
          <w:rFonts w:ascii="David" w:hAnsi="David" w:eastAsia="David"/>
          <w:bCs/>
          <w:rtl w:val="true"/>
        </w:rPr>
        <w:t>בארין נ</w:t>
      </w:r>
      <w:r>
        <w:rPr>
          <w:rFonts w:eastAsia="David" w:cs="David" w:ascii="David" w:hAnsi="David"/>
          <w:bCs/>
          <w:rtl w:val="true"/>
        </w:rPr>
        <w:t xml:space="preserve">' </w:t>
      </w:r>
      <w:r>
        <w:rPr>
          <w:rFonts w:ascii="David" w:hAnsi="David" w:eastAsia="David"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פורסם בנבו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31.5.2022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start="850" w:end="851"/>
        <w:jc w:val="both"/>
        <w:rPr/>
      </w:pP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[...] 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1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>)...</w:t>
      </w:r>
      <w:r>
        <w:rPr>
          <w:rFonts w:ascii="David" w:hAnsi="David" w:eastAsia="David"/>
          <w:b/>
          <w:b/>
          <w:bCs/>
          <w:rtl w:val="true"/>
        </w:rPr>
        <w:t>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eastAsia="David" w:cs="Arial"/>
          <w:b/>
          <w:bCs/>
        </w:rPr>
      </w:pPr>
      <w:r>
        <w:rPr>
          <w:rFonts w:eastAsia="David"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מידת הפגיעה בערכים המוגנים בענייננו היא משמעותית וזאת ב</w:t>
      </w:r>
      <w:r>
        <w:rPr>
          <w:rFonts w:ascii="Arial" w:hAnsi="Arial" w:cs="Arial"/>
          <w:rtl w:val="true"/>
        </w:rPr>
        <w:t>עיקר ב</w:t>
      </w:r>
      <w:r>
        <w:rPr>
          <w:rFonts w:ascii="Arial" w:hAnsi="Arial" w:cs="Arial"/>
          <w:rtl w:val="true"/>
        </w:rPr>
        <w:t xml:space="preserve">שים לב </w:t>
      </w:r>
      <w:r>
        <w:rPr>
          <w:rFonts w:ascii="Arial" w:hAnsi="Arial" w:cs="Arial"/>
          <w:rtl w:val="true"/>
        </w:rPr>
        <w:t>למספר כלי הנשק והמחסניות שאותן הוביל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נתתי משקל גם לכך </w:t>
      </w:r>
      <w:r>
        <w:rPr>
          <w:rFonts w:ascii="Arial" w:hAnsi="Arial" w:cs="Arial"/>
          <w:rtl w:val="true"/>
        </w:rPr>
        <w:t>שכלי הנשק והמחסניות</w:t>
      </w:r>
      <w:r>
        <w:rPr>
          <w:rFonts w:ascii="Arial" w:hAnsi="Arial" w:cs="Arial"/>
          <w:rtl w:val="true"/>
        </w:rPr>
        <w:t xml:space="preserve"> נתפסו ולא התגלגלו לידיים פליליות או חבלניות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לנסיבות ביצוע העבירה נתתי דעתי</w:t>
      </w:r>
      <w:r>
        <w:rPr>
          <w:rFonts w:ascii="Arial" w:hAnsi="Arial" w:cs="Arial"/>
          <w:rtl w:val="true"/>
        </w:rPr>
        <w:t xml:space="preserve"> לתכנון המוקדם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למצער תיאום עם גורמים אחרים שהעבירו לנאשם את כל הנשק והמחסניות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הסכים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בטיעוניו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למספר הרב של כלי הנשק והמחסניות שהנאשם הוביל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 ועשרות מחסניות תואמות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לשווי המוערך של כלי הנשק בשוק הנשק הלא חוקי כאמור בעובדה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מעל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מיליון שקלים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לסוגם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אופי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של </w:t>
      </w:r>
      <w:r>
        <w:rPr>
          <w:rFonts w:ascii="Arial" w:hAnsi="Arial" w:cs="Arial"/>
          <w:rtl w:val="true"/>
        </w:rPr>
        <w:t>כלי הנשק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למחסניות התואמות את סוג האקדחים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ולמקום ולזמן בהם הובלו כלי הנשק והמחסניות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בשטח שבין מושב עידן לגבול עם ירדן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שמגבירים את פוטנציאל הסיכון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לנזק שעלול היה להיגרם לו </w:t>
      </w:r>
      <w:r>
        <w:rPr>
          <w:rFonts w:ascii="Arial" w:hAnsi="Arial" w:cs="Arial"/>
          <w:rtl w:val="true"/>
        </w:rPr>
        <w:t>כלי הנשק והמחסניות התואמות היו מגיעים לידיים פליליות או חלילה חבלניות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לסיבה בעטיה ביצע הנאשם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בצע כסף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ולכך שהנאשם נעצר רק לאחר שעלה עם רכבו על דוקרנים שהוצבו במחסום משטרתי וגלגלי רכבו נוקבו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09" w:start="141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קיצורו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להקל ראש במעשיו של הנאשם ולומר שהוא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הוביל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910" w:end="851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נשיאה והובלה של כלי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הריהי לעיתים רק הסנונית הראשונה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בואכה מעשים חמורים יותר – חבלה חמורה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שוד מזוין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רצח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וכיוצא באלה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>]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24.2.2021</w:t>
      </w:r>
      <w:r>
        <w:rPr>
          <w:rFonts w:cs="Arial" w:ascii="Arial" w:hAnsi="Arial"/>
          <w:rtl w:val="true"/>
        </w:rPr>
        <w:t>]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עניין חלייחל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start="850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נתתי משקל לעובדה </w:t>
      </w:r>
      <w:r>
        <w:rPr>
          <w:rFonts w:ascii="Arial" w:hAnsi="Arial" w:cs="Arial"/>
          <w:rtl w:val="true"/>
        </w:rPr>
        <w:t>גם לכך ש</w:t>
      </w:r>
      <w:r>
        <w:rPr>
          <w:rFonts w:ascii="Arial" w:hAnsi="Arial" w:cs="Arial"/>
          <w:rtl w:val="true"/>
        </w:rPr>
        <w:t>לא נעשה שימוש ב</w:t>
      </w:r>
      <w:r>
        <w:rPr>
          <w:rFonts w:ascii="Arial" w:hAnsi="Arial" w:cs="Arial"/>
          <w:rtl w:val="true"/>
        </w:rPr>
        <w:t>כלי ה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בכך שכלי </w:t>
      </w:r>
      <w:r>
        <w:rPr>
          <w:rFonts w:ascii="Arial" w:hAnsi="Arial" w:cs="Arial"/>
          <w:rtl w:val="true"/>
        </w:rPr>
        <w:t>הנשק וה</w:t>
      </w:r>
      <w:r>
        <w:rPr>
          <w:rFonts w:ascii="Arial" w:hAnsi="Arial" w:cs="Arial"/>
          <w:rtl w:val="true"/>
        </w:rPr>
        <w:t>מחסניות</w:t>
      </w:r>
      <w:r>
        <w:rPr>
          <w:rFonts w:ascii="Arial" w:hAnsi="Arial" w:cs="Arial"/>
          <w:rtl w:val="true"/>
        </w:rPr>
        <w:t xml:space="preserve"> נתפסו ובכך צומצמה מידת הנזק שעלול </w:t>
      </w:r>
      <w:r>
        <w:rPr>
          <w:rFonts w:ascii="Arial" w:hAnsi="Arial" w:cs="Arial"/>
          <w:rtl w:val="true"/>
        </w:rPr>
        <w:t xml:space="preserve">היה </w:t>
      </w:r>
      <w:r>
        <w:rPr>
          <w:rFonts w:ascii="Arial" w:hAnsi="Arial" w:cs="Arial"/>
          <w:rtl w:val="true"/>
        </w:rPr>
        <w:t>להיגרם לציבור כתוצאה מביצוע העבירה</w:t>
      </w:r>
      <w:r>
        <w:rPr>
          <w:rFonts w:ascii="Arial" w:hAnsi="Arial" w:cs="Arial"/>
          <w:rtl w:val="true"/>
        </w:rPr>
        <w:t xml:space="preserve"> ואף בכך שמכתב האישום נותר ספק אם דובר במחסניות מלאות בכדורים או במחסניות ריקות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ומספק זה זכאי ליהנות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בית המשפט העליון </w:t>
      </w:r>
      <w:r>
        <w:rPr>
          <w:rFonts w:ascii="Arial" w:hAnsi="Arial" w:cs="Arial"/>
          <w:rtl w:val="true"/>
        </w:rPr>
        <w:t xml:space="preserve">קבע </w:t>
      </w:r>
      <w:r>
        <w:rPr>
          <w:rFonts w:ascii="Arial" w:hAnsi="Arial" w:cs="Arial"/>
          <w:rtl w:val="true"/>
        </w:rPr>
        <w:t>בשורה ארוכה של פסקי דין 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נשק יש לנקוט </w:t>
      </w:r>
      <w:r>
        <w:rPr>
          <w:rFonts w:ascii="Arial" w:hAnsi="Arial" w:cs="Arial"/>
          <w:rtl w:val="true"/>
        </w:rPr>
        <w:t xml:space="preserve">ככלל </w:t>
      </w:r>
      <w:r>
        <w:rPr>
          <w:rFonts w:ascii="Arial" w:hAnsi="Arial" w:cs="Arial"/>
          <w:rtl w:val="true"/>
        </w:rPr>
        <w:t>ביד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להחמיר בענישה ולתת בכורה לשיקולי הגמול וההרתעה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מגמת ההחמרה שחלה בעונשי המאסר הנגזרים על נאשמים בעבירות נשק עוברת כחוט השני בפסיקה של בית משפט העליון בשנים האחרונות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ראו דברי בית המשפט העליון אך לאחרונה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5170/23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קובס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באתר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22.10.2023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0"/>
        <w:ind w:start="850" w:end="851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מערכת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היא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נדרשת לתת חלקה במלחמת החרמה נגד מבצעי עבירות הנשק השונות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החל מעבירות סחר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דרך החזקת נשק וכלה בנשיאה והובלה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cs="Arial" w:ascii="Arial" w:hAnsi="Arial"/>
          <w:b/>
          <w:bCs/>
          <w:rtl w:val="true"/>
        </w:rPr>
        <w:t>..</w:t>
      </w:r>
      <w:r>
        <w:rPr>
          <w:rFonts w:cs="Arial" w:ascii="Arial" w:hAnsi="Arial"/>
          <w:b/>
          <w:bCs/>
          <w:rtl w:val="true"/>
        </w:rPr>
        <w:t>.]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בהתאם ניכרת בפסיקה מגמה עקבית של החמרה בענישה כלפי מבצעי עבירות בנשק </w:t>
      </w:r>
      <w:r>
        <w:rPr>
          <w:rFonts w:cs="Arial" w:ascii="Arial" w:hAnsi="Arial"/>
          <w:b/>
          <w:bCs/>
          <w:rtl w:val="true"/>
        </w:rPr>
        <w:t>[...]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 w:before="0" w:after="0"/>
        <w:ind w:start="850" w:end="851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566" w:start="-1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14.2.2021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24.10.2021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געביס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11.07.2019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4207/21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נורי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28.7.2021</w:t>
      </w:r>
      <w:r>
        <w:rPr>
          <w:rtl w:val="true"/>
        </w:rPr>
        <w:t xml:space="preserve">)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אבו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עבסה</w:t>
      </w:r>
      <w:r>
        <w:rPr>
          <w:rFonts w:cs="Times New Roman"/>
          <w:b/>
          <w:b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23.1.2022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8869/21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קואסמה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13.3.2022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טחאינה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13.6.2022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rtl w:val="true"/>
        </w:rPr>
        <w:t>הפסיקה בעבירות הנשק הינה מגוונת ותלויית נסיבות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לרבות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ונסיבותיו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בעיקר תלויה היא בנסיבות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המעשה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לרבות סוג העבירות שנעברו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היקף כלי הנשק והתחמושת וסוגם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טיבם ואופיים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הסיכון הנשקף מכלי נשק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התקופה שבה בוצעו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זהות העושה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האם מדובר בגורם עוין או עברייני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האם עבירות הנשק בוצעו אגב ביצוע עבירות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דוגמת עבירות ביטחון או אלימות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היקף התכנון המוקדם וטיבם של השותפים וכיוצ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נסיבות המלמדות על חומרת האירוע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למדיניות הענישה בעבירה של נשיאה והובלת נשק קבע בית המשפט העליון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14.9.2022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עניין פלוני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כי מתחם העונש ההולם הראוי בעבירה זו צריך לנוע בין </w:t>
      </w:r>
      <w:r>
        <w:rPr>
          <w:rFonts w:cs="Arial" w:ascii="Arial" w:hAnsi="Arial"/>
        </w:rPr>
        <w:t>30-42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850" w:end="851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 xml:space="preserve">"[...] </w:t>
      </w:r>
      <w:r>
        <w:rPr>
          <w:rFonts w:ascii="Arial" w:hAnsi="Arial" w:cs="Arial"/>
          <w:b/>
          <w:b/>
          <w:bCs/>
          <w:rtl w:val="true"/>
        </w:rPr>
        <w:t>כעולה מפסיקתו של 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בין סורג ובריח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 xml:space="preserve">[...] </w:t>
      </w:r>
      <w:r>
        <w:rPr>
          <w:rFonts w:ascii="Arial" w:hAnsi="Arial" w:cs="Arial"/>
          <w:b/>
          <w:b/>
          <w:bCs/>
          <w:rtl w:val="true"/>
        </w:rPr>
        <w:t>הווה אומר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>באין נסיבות מיוחדות לחומרא</w:t>
      </w:r>
      <w:r>
        <w:rPr>
          <w:rFonts w:ascii="Arial" w:hAnsi="Arial" w:cs="Arial"/>
          <w:b/>
          <w:b/>
          <w:bCs/>
          <w:rtl w:val="true"/>
        </w:rPr>
        <w:t xml:space="preserve"> או לקולא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יהא זה בהחלט סביר אם בית משפט יטיל על נאשם כאמור עונש של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תקוותי היא כי אמות מידה אלה תנחנה את הערכאות הדיוניות באופן שיטתי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cs="David" w:ascii="David" w:hAnsi="David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דגש לא במקור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').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כעולה מעובדה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בענייננו בהחלט מתקיימות נסיבות מיוחדות לחומרה</w:t>
      </w:r>
      <w:r>
        <w:rPr>
          <w:rFonts w:ascii="Arial" w:hAnsi="Arial" w:cs="Arial"/>
          <w:rtl w:val="true"/>
        </w:rPr>
        <w:t xml:space="preserve"> הנעוצות בראש ובראשונה בהיקף החריג והעצום של כלי הנשק שאותם הוביל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ובשווים בשוק הנשק הלא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במידה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העובדה שהנאשם הוביל את כלי הנשק בסמיכות לאזור הגבול עם ירדן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בשעת לילה מאוחרת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לפנות 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משום חומרה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בשל הסיכון הפוטנציאלי הטמון בכך לשם ביצוע עבירות פליליות או ביטחוניות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ביצוע עבירות נשק בהן מעורבים עשרות כלי נשק הפכו למרבה הצער למקרה לא חריג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דרך כלל מדובר אכן בניסיונות ייבוא של עשרות כלי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לא רק כפי שענייננו מלמד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הניסיון להציף את הרחובות בכלי נשק רבים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מכה אחת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יוצר סיכון אדיר לביטחון הציבור וראוי על כן להגיב לו בענישה קשה ומחמירה במיוחד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כך במקרים שבהם הורשע נאשם בעבירה של ייבוא כלי נשק אך כך נכון לעשות גם בעבירות נשק אחרות דוגמת נשיאה והובלה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eastAsia="David" w:cs="David" w:ascii="David" w:hAnsi="David"/>
          <w:rtl w:val="true"/>
        </w:rPr>
        <w:tab/>
      </w:r>
      <w:r>
        <w:rPr>
          <w:rFonts w:ascii="David" w:hAnsi="David" w:eastAsia="David"/>
          <w:rtl w:val="true"/>
        </w:rPr>
        <w:t>בשים לב להערות פתיחה אלו תוצג להלן פסיקה במקרים דומים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בענייננו הצדדים עמדו על הקושי לאתר פסיקה הדומה בנסיבותיה למקרה דנן בשל מספר כלי הנשק והמחסניות שנתפסו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שעל דרך כלל מאפיינות את העבירה החמורה יותר של ייבוא 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 w:eastAsia="David"/>
          <w:rtl w:val="true"/>
        </w:rPr>
        <w:t>כבר עתה אבהיר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מודע אני לשוני הקיים בין הנסיבות במקרים שיוצגו במסגרת סקירת הפסיקה לנסיבות שבענייננו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בהיקף כלי הנשק או בחומרת העבירה וכיוצ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ולשוני זה יינתן כמובן המשקל המתאים יחד עם נסיבות שאינן קשורות בביצוע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דוגמת עברו הפלילי של הנאשם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לא למותר לציין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כי לו היה הנאשם מורשע בעבירה החמורה יותר של ייבוא נשק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עונשו היה חמור באופן משמעותי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חמור אף יותר מהעמדה העונשית שהציגה המאשימה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בעניין חלייחל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24.2.2021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בית המשפט העליון דחה את ערעורו של נאשם שהורשע בעבירה של הובלה ונשיאה של</w:t>
      </w:r>
      <w:r>
        <w:rPr>
          <w:rFonts w:ascii="Arial" w:hAnsi="Arial" w:cs="Arial"/>
          <w:rtl w:val="true"/>
        </w:rPr>
        <w:t xml:space="preserve"> כלי</w:t>
      </w:r>
      <w:r>
        <w:rPr>
          <w:rFonts w:ascii="Arial" w:hAnsi="Arial" w:cs="Arial"/>
          <w:rtl w:val="true"/>
        </w:rPr>
        <w:t xml:space="preserve"> נשק </w:t>
      </w:r>
      <w:r>
        <w:rPr>
          <w:rFonts w:ascii="Arial" w:hAnsi="Arial" w:cs="Arial"/>
          <w:u w:val="single"/>
          <w:rtl w:val="true"/>
        </w:rPr>
        <w:t>אחד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נורו יריות שלא יוחסו לנאשם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והותיר על כנו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כולל הפעלת מאסר מותנה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0" w:leader="none"/>
          <w:tab w:val="left" w:pos="1134" w:leader="none"/>
          <w:tab w:val="left" w:pos="1701" w:leader="none"/>
        </w:tabs>
        <w:spacing w:lineRule="auto" w:line="360"/>
        <w:ind w:hanging="567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פרסום בנבו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</w:rPr>
        <w:t>.12.2023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בית המשפט העליון דחה את ערעורו של נאשם שהורשע בעבירות של החזקה ונשיאה של </w:t>
      </w:r>
      <w:r>
        <w:rPr>
          <w:rFonts w:ascii="David" w:hAnsi="David" w:eastAsia="Calibri"/>
          <w:rtl w:val="true"/>
        </w:rPr>
        <w:t>אקדח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אחד</w:t>
      </w:r>
      <w:r>
        <w:rPr>
          <w:rFonts w:ascii="David" w:hAnsi="David" w:eastAsia="Calibri"/>
          <w:rtl w:val="true"/>
        </w:rPr>
        <w:t xml:space="preserve"> טעון במחסנית ובתוכה שישה כדורים</w:t>
      </w:r>
      <w:r>
        <w:rPr>
          <w:rFonts w:ascii="David" w:hAnsi="David" w:eastAsia="Calibri"/>
          <w:rtl w:val="true"/>
        </w:rPr>
        <w:t xml:space="preserve"> והותיר על כנו עונש של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ציין כי </w:t>
      </w:r>
      <w:r>
        <w:rPr>
          <w:rFonts w:ascii="David" w:hAnsi="David" w:eastAsia="Calibri"/>
          <w:rtl w:val="true"/>
        </w:rPr>
        <w:t>העונש אינו מחמיר ע</w:t>
      </w:r>
      <w:r>
        <w:rPr>
          <w:rFonts w:ascii="David" w:hAnsi="David" w:eastAsia="Calibri"/>
          <w:rtl w:val="true"/>
        </w:rPr>
        <w:t xml:space="preserve">ם הנאשם </w:t>
      </w:r>
      <w:r>
        <w:rPr>
          <w:rFonts w:ascii="David" w:hAnsi="David" w:eastAsia="Calibri"/>
          <w:rtl w:val="true"/>
        </w:rPr>
        <w:t>ואולי אף מקל</w:t>
      </w:r>
      <w:r>
        <w:rPr>
          <w:rFonts w:ascii="David" w:hAnsi="David" w:eastAsia="Calibri"/>
          <w:rtl w:val="true"/>
        </w:rPr>
        <w:t xml:space="preserve"> עמו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0" w:leader="none"/>
          <w:tab w:val="left" w:pos="1134" w:leader="none"/>
          <w:tab w:val="left" w:pos="1701" w:leader="none"/>
        </w:tabs>
        <w:spacing w:lineRule="auto" w:line="360"/>
        <w:ind w:hanging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ביאדסה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10.5.2022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בית המשפט העליון קיבל את ערעור המאשימה על קולת העונש שהוטל על נאשם שהורשע בהחזקה ונשיאה והובלה בצוותא של </w:t>
      </w:r>
      <w:r>
        <w:rPr>
          <w:rFonts w:ascii="David" w:hAnsi="David" w:eastAsia="Calibri"/>
          <w:u w:val="single"/>
          <w:rtl w:val="true"/>
        </w:rPr>
        <w:t>שני כלי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רובה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ובה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וכן אקדח חצי אוטומטי טעון במחסנית תואמת המכילה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ומחסנית נוספת שמכילה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חלף עונש של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שהטיל עליו בית המשפט המחוזי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  <w:tab w:val="left" w:pos="1134" w:leader="none"/>
          <w:tab w:val="left" w:pos="1701" w:leader="none"/>
        </w:tabs>
        <w:spacing w:lineRule="auto" w:line="360"/>
        <w:ind w:hanging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0" w:leader="none"/>
          <w:tab w:val="left" w:pos="1134" w:leader="none"/>
          <w:tab w:val="left" w:pos="1701" w:leader="none"/>
        </w:tabs>
        <w:spacing w:lineRule="auto" w:line="360"/>
        <w:ind w:hanging="567" w:end="0"/>
        <w:jc w:val="both"/>
        <w:rPr>
          <w:rFonts w:ascii="David" w:hAnsi="David" w:eastAsia="Calibri" w:cs="David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בעניין פלוני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בית המשפט העליון קיבל את ערעורה של המאשימה שהורשע בעבירה של נשיאת והובלה של </w:t>
      </w:r>
      <w:r>
        <w:rPr>
          <w:rFonts w:ascii="Arial" w:hAnsi="Arial" w:cs="Arial"/>
          <w:u w:val="single"/>
          <w:rtl w:val="true"/>
        </w:rPr>
        <w:t>אקדח אחד</w:t>
      </w:r>
      <w:r>
        <w:rPr>
          <w:rFonts w:ascii="Arial" w:hAnsi="Arial" w:cs="Arial"/>
          <w:rtl w:val="true"/>
        </w:rPr>
        <w:t xml:space="preserve">  עם מחסנית וכדורים תואמים ועבירות נלוות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הפרעה לשוטר ושהיה בישראל שלא כחוק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והעמיד את עונשו על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חלף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שהטיל עליו בית המשפט המחוזי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ציין כי ראוי היה להטיל על הנאשם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עבירת הנשק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על כלל העבירות אך לא מצא לעשות זאת בשל העובדה כי ערכאת הערעור אינה ממצא את הדין עם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  <w:tab w:val="left" w:pos="1134" w:leader="none"/>
          <w:tab w:val="left" w:pos="1701" w:leader="none"/>
        </w:tabs>
        <w:spacing w:lineRule="auto" w:line="360"/>
        <w:ind w:hanging="567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סויטאת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21.3.2023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בית המשפט העליון דחה את ערעורו של נאשם שהורשע בעבירות של </w:t>
      </w:r>
      <w:r>
        <w:rPr>
          <w:rFonts w:ascii="David" w:hAnsi="David" w:eastAsia="Calibri"/>
          <w:rtl w:val="true"/>
        </w:rPr>
        <w:t xml:space="preserve">נשיאה והובלת אקדח </w:t>
      </w:r>
      <w:r>
        <w:rPr>
          <w:rFonts w:ascii="David" w:hAnsi="David" w:eastAsia="Calibri"/>
          <w:u w:val="single"/>
          <w:rtl w:val="true"/>
        </w:rPr>
        <w:t>אחד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והותיר על כנו עונש של 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28796-07-22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סדאן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9.7.2023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גזר מותב זה על נאשמים שהורשעו ביבוא של </w:t>
      </w:r>
      <w:r>
        <w:rPr>
          <w:rFonts w:ascii="David" w:hAnsi="David"/>
          <w:rtl w:val="true"/>
        </w:rPr>
        <w:t xml:space="preserve">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 ומחסנית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חמישה אקדחים מסוג זיגזאוור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JAWS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רובי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ושתי 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רובי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רובה בלגי ותשעה כדורים בקוטר של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ללא הפעלת מאסר מותנה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חומרת העונש נדחה לאחר שזה לא עמד על ערעורו בהמלצת בית המשפט העליון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6346/23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סדאן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4.3.2024</w:t>
      </w:r>
      <w:r>
        <w:rPr>
          <w:rFonts w:cs="David" w:ascii="David" w:hAnsi="David"/>
          <w:rtl w:val="true"/>
        </w:rPr>
        <w:t>]).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David" w:hAnsi="David" w:cs="David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39675-11-20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טראבין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7.9.2022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המחוזי במסגרת 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לעונש על נאשם שהורשע </w:t>
      </w:r>
      <w:r>
        <w:rPr>
          <w:rFonts w:ascii="David" w:hAnsi="David"/>
          <w:rtl w:val="true"/>
        </w:rPr>
        <w:t>בביצוע עבירות של יבוא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עורמה מרמה ותחבולה</w:t>
      </w:r>
      <w:r>
        <w:rPr>
          <w:rFonts w:ascii="David" w:hAnsi="David"/>
          <w:rtl w:val="true"/>
        </w:rPr>
        <w:t xml:space="preserve"> עונש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זה דובר על יבוא ונשיאה של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באישום הראשון ועבירות נלוות באישומים הנוספים שבהם היו מעורבים כלי נשק 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54338-03-21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חטאב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10.2.2022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המחוזי על נאשם שהורשע ביבוא של </w:t>
      </w:r>
      <w:r>
        <w:rPr>
          <w:rFonts w:ascii="David" w:hAnsi="David"/>
          <w:rtl w:val="true"/>
        </w:rPr>
        <w:t>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ציד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וכן בביצוע עבירות תעבורה שונות במספר תיקים שצורפו</w:t>
      </w:r>
      <w:r>
        <w:rPr>
          <w:rFonts w:ascii="David" w:hAnsi="David"/>
          <w:rtl w:val="true"/>
        </w:rPr>
        <w:t xml:space="preserve"> עונש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כולל הפעלת מאסר מותנה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David" w:ascii="David" w:hAnsi="David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צרף פסיקה במקרים של עבירות נשק חמורות יותר שהעונשים שנגזרו בהם נמוכים מהעונש שלו עתרה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בין היתר צרף את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37678-03-21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מצלח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10.3.2022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בו גזר בית המשפט המחוזי על נאשם שהורשע בעבירות של יבוא ונשיאה והובלה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אקדחים מסוגים שונים עם מחסניות תואמות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להבדיל מענייננו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זה דובר בנאשם נעדר עבר פלילי אשר בעניינו הייתה המלצה שיקומית של שירות המבחן ולכך ניתן משקל בגזר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בית משפט העליון דחה את ערעור הנאשם על חומרת העונש ואת ערעור המאשימה על קולת העונש והותיר את העונש על כנו לא לפני שציין כי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מעיקר הדין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היה נכון להחמיר בעונש המאסר עוד מעבר 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המאסר לריצוי בפועל שנגזרו על המערער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ascii="Arial" w:hAnsi="Arial" w:cs="Arial"/>
          <w:b/>
          <w:b/>
          <w:bCs/>
          <w:rtl w:val="true"/>
        </w:rPr>
        <w:t>המשיב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ממילא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כל מקום להקלה בעונש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סיבה אחת ויחידה הביאתנו שלא להחמיר בעונש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זו שתסקיר שירות המבחן ודברי נציג שירות המבחן לפנינו העלו תמונה משמעותית של יציאה לדרך חדשה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שאותה אנו מבקשי</w:t>
      </w:r>
      <w:r>
        <w:rPr>
          <w:rFonts w:ascii="Arial" w:hAnsi="Arial" w:cs="Arial"/>
          <w:b/>
          <w:b/>
          <w:bCs/>
          <w:rtl w:val="true"/>
        </w:rPr>
        <w:t>ם לעודד</w:t>
      </w:r>
      <w:r>
        <w:rPr>
          <w:rFonts w:cs="Arial" w:ascii="Arial" w:hAnsi="Arial"/>
          <w:rtl w:val="true"/>
        </w:rPr>
        <w:t>" (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2653/22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;</w:t>
        </w:r>
      </w:hyperlink>
      <w:r>
        <w:rPr>
          <w:rFonts w:cs="Arial" w:ascii="Arial" w:hAnsi="Arial"/>
          <w:rtl w:val="true"/>
        </w:rPr>
        <w:t xml:space="preserve">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2740/22</w:t>
        </w:r>
      </w:hyperlink>
      <w:r>
        <w:rPr>
          <w:rFonts w:cs="Arial" w:ascii="Arial" w:hAnsi="Arial"/>
          <w:rtl w:val="true"/>
        </w:rPr>
        <w:t>);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12617-03-21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בר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ascii="David" w:hAnsi="David"/>
          <w:b/>
          <w:b/>
          <w:bCs/>
          <w:rtl w:val="true"/>
        </w:rPr>
        <w:t>ן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24.8.2022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גזר בית המשפט המחוזי על נאשמים שהורשעו בעבירות של יבוא ונשיאה והובלה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אקדחים מסוגים שונים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ושל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בהמלצת בית המשפט העליון חזרו בהם הנאשמים מערעור שהגישו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6724/22</w:t>
        </w:r>
      </w:hyperlink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41228-03-18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פרנק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8.4.2019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גזר בית המשפט המחוזי על נאשם שעבד בקונסוליה ואשר הורשע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יבוא נשק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הובלה ונשיאת נשק ושלוש עבירות של קבלת דבר במרמה בנסיבות מחמירות עונש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במקרה זה ייבא והוביל הנאשם באישום הראשון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באישום השני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אקדחים ובאישום השלישי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לנסיבות שאינן קשורות לביצוע העבירה נתתי משקל </w:t>
      </w:r>
      <w:r>
        <w:rPr>
          <w:rFonts w:ascii="Arial" w:hAnsi="Arial" w:cs="Arial"/>
          <w:rtl w:val="true"/>
        </w:rPr>
        <w:t>להודאת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הודאה שיש בה משום לקיחת אחריות וחיסכון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 האישיות והמשפחתיות המורכבות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למצבו הבריאותי המורכב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למצבו הכלכלי הרעוע ולפגיעה של עונש המאסר בו ובמשפחתו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65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משקל לעברו הפלילי המכביד של הנאשם הכולל מספר הרשעות במגוון עבירות בגינן נדון למספר תקופות מאסר ממושכות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היתר הנאשם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ביצוע עבירות סמים ומתן מחסה למסתנן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לאמור נתתי משקל גם לשיקול הרתעת היחיד וגם לשיקול הרתעת הרבים הנדרש בגזרה זו של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ראו </w:t>
      </w:r>
      <w:r>
        <w:rPr>
          <w:rFonts w:ascii="Arial" w:hAnsi="Arial" w:cs="Arial"/>
          <w:b/>
          <w:b/>
          <w:bCs/>
          <w:rtl w:val="true"/>
        </w:rPr>
        <w:t>עניין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850" w:end="851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>[...}</w:t>
      </w:r>
      <w:r>
        <w:rPr>
          <w:rFonts w:ascii="Arial" w:hAnsi="Arial" w:cs="Arial"/>
          <w:b/>
          <w:b/>
          <w:bCs/>
          <w:rtl w:val="true"/>
        </w:rPr>
        <w:t>הענישה המחמירה והבלתי מתפשרת כאמור צריכה לחול ללא סייגים על כל נאשם בגיר באשר הוא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בטיפולנו בעבירות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cs="Arial" w:ascii="Arial" w:hAnsi="Arial"/>
          <w:b/>
          <w:bCs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מסוג זה ובמבצעיהן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[...]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-69" w:end="0"/>
        <w:jc w:val="both"/>
        <w:rPr/>
      </w:pPr>
      <w:r>
        <w:rPr>
          <w:rFonts w:ascii="Arial" w:hAnsi="Arial" w:cs="Arial"/>
          <w:rtl w:val="true"/>
        </w:rPr>
        <w:t>באשר לשיקולי ההרתעה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עלינו לתת דעתנו גם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צרכי השעה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ולתחינות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הציבור אליו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משתייך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לפעול למיגור החזקת הנשק הלא חוקי והפשיעה הכרוכה בכך שהפכו זה מכבר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מגזר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בפרט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בעניין זה ראו </w:t>
      </w:r>
      <w:r>
        <w:rPr>
          <w:rFonts w:ascii="Arial" w:hAnsi="Arial" w:cs="Arial"/>
          <w:b/>
          <w:b/>
          <w:bCs/>
          <w:rtl w:val="true"/>
        </w:rPr>
        <w:t>עניין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את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מבקר המדינה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התמודדות משטרת ישראל עם החזקת אמצעי לחימה לא חוקיים ואירועי ירי ביישובי החברה הערבית ובישובים מעורבים</w:t>
      </w:r>
      <w:r>
        <w:rPr>
          <w:rFonts w:cs="Arial" w:ascii="Arial" w:hAnsi="Arial"/>
          <w:rtl w:val="true"/>
        </w:rPr>
        <w:t xml:space="preserve">",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לרכיב פסילת רישיון הנהיגה בפועל סבורני כי יש לבכר את עמדת המאשימה לפיה לא ניתן להסתפק בפסילה מותנית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 אשר מנצל את הרישיון שהמדינה נתנה לו לנהוג ברכב כדי להוביל עשרות כלי נשק ומחסניות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ואגב כך מסכן החברה באופן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לשלול ממנו את האפשרות להמשיך לנהוג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לתקופה ממושכת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בכל זאת מצאתי להסתפק בתקופת פסילה בפועל מתונה הרי שהדבר נבע הן מתקופת המאסר הממושכת שתוטל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תמנע מהנאשם מלנהוג במשך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מנסיבותיו האישיות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המשפחתיות המורכבות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65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hanging="567" w:end="0"/>
        <w:contextualSpacing/>
        <w:jc w:val="both"/>
        <w:rPr/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651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</w:t>
      </w:r>
      <w:r>
        <w:rPr>
          <w:rFonts w:ascii="Arial" w:hAnsi="Arial" w:cs="Arial"/>
          <w:rtl w:val="true"/>
        </w:rPr>
        <w:t>מאסר בפועל בניכוי ימי המעצר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651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מן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שהנאשם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לא יעבור</w:t>
      </w:r>
      <w:r>
        <w:rPr>
          <w:rFonts w:ascii="Arial" w:hAnsi="Arial" w:cs="Arial"/>
          <w:rtl w:val="true"/>
        </w:rPr>
        <w:t xml:space="preserve"> עבירת נשק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651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89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שישולמו בעשרה שיעורים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שווים ורצופים החל מיום </w:t>
      </w:r>
      <w:r>
        <w:rPr>
          <w:rFonts w:cs="Arial" w:ascii="Arial" w:hAnsi="Arial"/>
        </w:rPr>
        <w:t>03.06.2024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89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89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פסילת רישיון נהיגה למשך </w:t>
      </w:r>
      <w:r>
        <w:rPr>
          <w:rFonts w:ascii="Arial" w:hAnsi="Arial" w:cs="Arial"/>
          <w:rtl w:val="true"/>
        </w:rPr>
        <w:t xml:space="preserve">שנתיים </w:t>
      </w:r>
      <w:r>
        <w:rPr>
          <w:rFonts w:ascii="Arial" w:hAnsi="Arial" w:cs="Arial"/>
          <w:rtl w:val="true"/>
        </w:rPr>
        <w:t>החל מיום השחרור מן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 להפקיד את רישיון הנהיגה שלו או למלא תצהיר מתאים במזכירות בית המשפט לצורך תחילת מניין התקופה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89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89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פסילת רישיון נהיגה למשך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במשך שנתיים מיום שחרורו עבירת נשק או עבירה של נהיגה בזמן פסילה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89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"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לנדקרוזר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84-888-58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89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  <w:color w:val="FFFFFF"/>
          <w:sz w:val="2"/>
          <w:szCs w:val="2"/>
        </w:rPr>
      </w:pPr>
      <w:r>
        <w:rPr>
          <w:rFonts w:eastAsia="David"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המשפט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אדר 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16190-05-23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עואד אלנשמי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case/20683368" TargetMode="External"/><Relationship Id="rId9" Type="http://schemas.openxmlformats.org/officeDocument/2006/relationships/hyperlink" Target="http://www.nevo.co.il/case/21479019" TargetMode="External"/><Relationship Id="rId10" Type="http://schemas.openxmlformats.org/officeDocument/2006/relationships/hyperlink" Target="http://www.nevo.co.il/case/27894608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6905927" TargetMode="External"/><Relationship Id="rId13" Type="http://schemas.openxmlformats.org/officeDocument/2006/relationships/hyperlink" Target="http://www.nevo.co.il/case/29814894" TargetMode="External"/><Relationship Id="rId14" Type="http://schemas.openxmlformats.org/officeDocument/2006/relationships/hyperlink" Target="http://www.nevo.co.il/case/27309272" TargetMode="External"/><Relationship Id="rId15" Type="http://schemas.openxmlformats.org/officeDocument/2006/relationships/hyperlink" Target="http://www.nevo.co.il/case/26630169" TargetMode="External"/><Relationship Id="rId16" Type="http://schemas.openxmlformats.org/officeDocument/2006/relationships/hyperlink" Target="http://www.nevo.co.il/case/25430243" TargetMode="External"/><Relationship Id="rId17" Type="http://schemas.openxmlformats.org/officeDocument/2006/relationships/hyperlink" Target="http://www.nevo.co.il/case/27708542" TargetMode="External"/><Relationship Id="rId18" Type="http://schemas.openxmlformats.org/officeDocument/2006/relationships/hyperlink" Target="http://www.nevo.co.il/case/27734980" TargetMode="External"/><Relationship Id="rId19" Type="http://schemas.openxmlformats.org/officeDocument/2006/relationships/hyperlink" Target="http://www.nevo.co.il/case/28200855" TargetMode="External"/><Relationship Id="rId20" Type="http://schemas.openxmlformats.org/officeDocument/2006/relationships/hyperlink" Target="http://www.nevo.co.il/case/28266138" TargetMode="External"/><Relationship Id="rId21" Type="http://schemas.openxmlformats.org/officeDocument/2006/relationships/hyperlink" Target="http://www.nevo.co.il/case/28883087" TargetMode="External"/><Relationship Id="rId22" Type="http://schemas.openxmlformats.org/officeDocument/2006/relationships/hyperlink" Target="http://www.nevo.co.il/case/29867910" TargetMode="External"/><Relationship Id="rId23" Type="http://schemas.openxmlformats.org/officeDocument/2006/relationships/hyperlink" Target="http://www.nevo.co.il/case/28243273" TargetMode="External"/><Relationship Id="rId24" Type="http://schemas.openxmlformats.org/officeDocument/2006/relationships/hyperlink" Target="http://www.nevo.co.il/case/28916087" TargetMode="External"/><Relationship Id="rId25" Type="http://schemas.openxmlformats.org/officeDocument/2006/relationships/hyperlink" Target="http://www.nevo.co.il/case/28773012" TargetMode="External"/><Relationship Id="rId26" Type="http://schemas.openxmlformats.org/officeDocument/2006/relationships/hyperlink" Target="http://www.nevo.co.il/case/27162501" TargetMode="External"/><Relationship Id="rId27" Type="http://schemas.openxmlformats.org/officeDocument/2006/relationships/hyperlink" Target="http://www.nevo.co.il/case/27500177" TargetMode="External"/><Relationship Id="rId28" Type="http://schemas.openxmlformats.org/officeDocument/2006/relationships/hyperlink" Target="http://www.nevo.co.il/case/27480886" TargetMode="External"/><Relationship Id="rId29" Type="http://schemas.openxmlformats.org/officeDocument/2006/relationships/hyperlink" Target="http://www.nevo.co.il/case/28538230" TargetMode="External"/><Relationship Id="rId30" Type="http://schemas.openxmlformats.org/officeDocument/2006/relationships/hyperlink" Target="http://www.nevo.co.il/case/28553943" TargetMode="External"/><Relationship Id="rId31" Type="http://schemas.openxmlformats.org/officeDocument/2006/relationships/hyperlink" Target="http://www.nevo.co.il/case/27451596" TargetMode="External"/><Relationship Id="rId32" Type="http://schemas.openxmlformats.org/officeDocument/2006/relationships/hyperlink" Target="http://www.nevo.co.il/case/29042841" TargetMode="External"/><Relationship Id="rId33" Type="http://schemas.openxmlformats.org/officeDocument/2006/relationships/hyperlink" Target="http://www.nevo.co.il/case/23801336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2024-03-31T12:16:00Z</dcterms:created>
  <dc:creator> </dc:creator>
  <dc:description/>
  <cp:keywords/>
  <dc:language>en-IL</dc:language>
  <cp:lastModifiedBy>h1</cp:lastModifiedBy>
  <dcterms:modified xsi:type="dcterms:W3CDTF">2024-03-31T12:16:00Z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עואד אלנשמי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ProcID=133;209&amp;PartA=6346&amp;PartC=23</vt:lpwstr>
  </property>
  <property fmtid="{D5CDD505-2E9C-101B-9397-08002B2CF9AE}" pid="9" name="CASESLISTTMP1">
    <vt:lpwstr>20683368;21479019;27894608;26905927;29814894;27309272;26630169;25430243;27708542;27734980;28200855;28266138;28883087;29867910;28243273;28916087;28773012;27162501;27500177;27480886;28538230;28553943;27451596;29042841;23801336</vt:lpwstr>
  </property>
  <property fmtid="{D5CDD505-2E9C-101B-9397-08002B2CF9AE}" pid="10" name="CITY">
    <vt:lpwstr>ב"ש</vt:lpwstr>
  </property>
  <property fmtid="{D5CDD505-2E9C-101B-9397-08002B2CF9AE}" pid="11" name="DATE">
    <vt:lpwstr>20240327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יובל ליבדרו</vt:lpwstr>
  </property>
  <property fmtid="{D5CDD505-2E9C-101B-9397-08002B2CF9AE}" pid="15" name="LAWLISTTMP1">
    <vt:lpwstr>70301/144.b</vt:lpwstr>
  </property>
  <property fmtid="{D5CDD505-2E9C-101B-9397-08002B2CF9AE}" pid="16" name="LAWLISTTMP2">
    <vt:lpwstr>5227</vt:lpwstr>
  </property>
  <property fmtid="{D5CDD505-2E9C-101B-9397-08002B2CF9AE}" pid="17" name="LAWYER">
    <vt:lpwstr>היבא טבאג'ה;ויקטור אוזן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16190</vt:lpwstr>
  </property>
  <property fmtid="{D5CDD505-2E9C-101B-9397-08002B2CF9AE}" pid="24" name="NEWPARTB">
    <vt:lpwstr>05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390020240327</vt:lpwstr>
  </property>
  <property fmtid="{D5CDD505-2E9C-101B-9397-08002B2CF9AE}" pid="36" name="TYPE_N_DATE">
    <vt:lpwstr>39020240327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