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815"/>
        <w:gridCol w:w="239"/>
        <w:gridCol w:w="2625"/>
      </w:tblGrid>
      <w:tr>
        <w:trPr>
          <w:trHeight w:val="418" w:hRule="exact"/>
        </w:trPr>
        <w:tc>
          <w:tcPr>
            <w:tcW w:w="8720" w:type="dxa"/>
            <w:gridSpan w:val="5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16318-03-09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חיפה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מחמאמיד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2009</w:t>
            </w:r>
          </w:p>
        </w:tc>
      </w:tr>
      <w:tr>
        <w:trPr>
          <w:trHeight w:val="337" w:hRule="atLeast"/>
        </w:trPr>
        <w:tc>
          <w:tcPr>
            <w:tcW w:w="5856" w:type="dxa"/>
            <w:gridSpan w:val="3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שושנה שטמר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vanish/>
        </w:rPr>
      </w:pPr>
      <w:r>
        <w:rPr>
          <w:vanish/>
          <w:rtl w:val="true"/>
        </w:rPr>
      </w:r>
      <w:bookmarkStart w:id="1" w:name="FirstAppellant"/>
      <w:bookmarkStart w:id="2" w:name="FirstAppellant"/>
      <w:bookmarkEnd w:id="2"/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מחמאמיד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חוסאם מחמאמיד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מאיה חזאן דהן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הנאשמים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בויראת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 בעצמם באמצעות שב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ס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אני מתירה לנאשמים לחזור בהם מהכפירה בעובדות כתב האישום ואני מחזירה לשלב ההקראה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מתירה תיקון כתב אישום כמבוקש</w:t>
      </w:r>
      <w:r>
        <w:rPr>
          <w:rtl w:val="true"/>
        </w:rPr>
        <w:t xml:space="preserve">. </w:t>
      </w:r>
      <w:r>
        <w:rPr>
          <w:rtl w:val="true"/>
        </w:rPr>
        <w:t>כתב האישום סומן 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/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הסדר הטיעון סומן 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/</w:t>
      </w:r>
      <w:r>
        <w:rPr>
          <w:rtl w:val="true"/>
        </w:rPr>
        <w:t>ב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שושנה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שטמר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הכרעת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  <w:t>הנאשמים הודו בכל העובדות שבכתב האישום המתוקן</w:t>
      </w:r>
      <w:r>
        <w:rPr>
          <w:rtl w:val="true"/>
        </w:rPr>
        <w:t xml:space="preserve">. </w:t>
      </w:r>
      <w:r>
        <w:rPr>
          <w:rtl w:val="true"/>
        </w:rPr>
        <w:t>לפיכך מרשיעה אותם בעבירות שבכתב האישום המתוקן</w:t>
      </w:r>
      <w:r>
        <w:rPr>
          <w:rtl w:val="true"/>
        </w:rPr>
        <w:t xml:space="preserve">, </w:t>
      </w:r>
      <w:r>
        <w:rPr>
          <w:rtl w:val="true"/>
        </w:rPr>
        <w:t>וכדלקמן</w:t>
      </w:r>
      <w:r>
        <w:rPr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נסיון לחבלה חמורה בנסיבות מחמירות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סעיף </w:t>
      </w:r>
      <w:hyperlink r:id="rId2">
        <w:r>
          <w:rPr>
            <w:rStyle w:val="Hyperlink"/>
            <w:color w:val="0000FF"/>
            <w:u w:val="single"/>
          </w:rPr>
          <w:t>333</w:t>
        </w:r>
      </w:hyperlink>
      <w:r>
        <w:rPr/>
        <w:t>+</w:t>
      </w:r>
      <w:hyperlink r:id="rId3">
        <w:r>
          <w:rPr>
            <w:rStyle w:val="Hyperlink"/>
            <w:color w:val="0000FF"/>
            <w:u w:val="single"/>
          </w:rPr>
          <w:t>335</w:t>
        </w:r>
      </w:hyperlink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>) +</w:t>
      </w:r>
      <w:hyperlink r:id="rId4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+ </w:t>
      </w:r>
      <w:hyperlink r:id="rId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סיוע לאחר מעשה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260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 xml:space="preserve">החזקת נשק ותחמושת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10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</w:t>
        <w:tab/>
      </w:r>
      <w:r>
        <w:rPr>
          <w:rtl w:val="true"/>
        </w:rPr>
        <w:t xml:space="preserve">נשיאת והובלת נשק ותחמושת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רישא </w:t>
      </w:r>
      <w:r>
        <w:rPr>
          <w:rtl w:val="true"/>
        </w:rPr>
        <w:t xml:space="preserve">+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13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 xml:space="preserve">חבלה במזיד לרכב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5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+ </w:t>
      </w:r>
      <w:hyperlink r:id="rId16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;</w:t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היזק לרכוש במזיד </w:t>
      </w:r>
      <w:r>
        <w:rPr>
          <w:rtl w:val="true"/>
        </w:rPr>
        <w:t xml:space="preserve">- </w:t>
      </w:r>
      <w:r>
        <w:rPr>
          <w:rtl w:val="true"/>
        </w:rPr>
        <w:t xml:space="preserve">עבירה לפי </w:t>
      </w:r>
      <w:hyperlink r:id="rId18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452</w:t>
        </w:r>
      </w:hyperlink>
      <w:r>
        <w:rPr>
          <w:rtl w:val="true"/>
        </w:rPr>
        <w:t xml:space="preserve"> + </w:t>
      </w:r>
      <w:hyperlink r:id="rId19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שושנה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שטמר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לאחר ששקלתי את הבקשה לתסקיר של קצין המבחן</w:t>
      </w:r>
      <w:r>
        <w:rPr>
          <w:rtl w:val="true"/>
        </w:rPr>
        <w:t xml:space="preserve">, </w:t>
      </w:r>
      <w:r>
        <w:rPr>
          <w:rtl w:val="true"/>
        </w:rPr>
        <w:t>אני נעתרת לה</w:t>
      </w:r>
      <w:r>
        <w:rPr>
          <w:rtl w:val="true"/>
        </w:rPr>
        <w:t xml:space="preserve">. </w:t>
      </w:r>
      <w:r>
        <w:rPr>
          <w:rtl w:val="true"/>
        </w:rPr>
        <w:t>אני מורה לשירות המבחן למבוגרים לתת תסקיר על 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חוסאם מחאמיד ת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/>
        <w:t>xxxxxxxx</w:t>
      </w:r>
      <w:r>
        <w:rPr/>
        <w:t>/2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sz w:val="8"/>
          <w:szCs w:val="10"/>
        </w:rPr>
      </w:pPr>
      <w:r>
        <w:rPr>
          <w:sz w:val="8"/>
          <w:szCs w:val="1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>
          <w:sz w:val="20"/>
        </w:rPr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מפרידה את משפטם של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sz w:val="20"/>
          <w:szCs w:val="10"/>
        </w:rPr>
      </w:pPr>
      <w:r>
        <w:rPr>
          <w:sz w:val="20"/>
          <w:szCs w:val="10"/>
          <w:rtl w:val="true"/>
        </w:rPr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קובעת לטיעונים לעונש לגבי 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ליום </w:t>
      </w:r>
      <w:r>
        <w:rPr/>
        <w:t>16/09/2009</w:t>
      </w:r>
      <w:r>
        <w:rPr>
          <w:rtl w:val="true"/>
        </w:rPr>
        <w:t xml:space="preserve"> </w:t>
      </w:r>
      <w:r>
        <w:rPr>
          <w:rtl w:val="true"/>
        </w:rPr>
        <w:t xml:space="preserve">שעה </w:t>
      </w:r>
      <w:r>
        <w:rPr/>
        <w:t>09:15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>
          <w:szCs w:val="10"/>
        </w:rPr>
      </w:pPr>
      <w:r>
        <w:rPr>
          <w:szCs w:val="10"/>
          <w:rtl w:val="true"/>
        </w:rPr>
      </w:r>
    </w:p>
    <w:p>
      <w:pPr>
        <w:pStyle w:val="Normal"/>
        <w:suppressLineNumbers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קצין המבחן למבוגרים יתן את התסקיר לא יאוחר מיום </w:t>
      </w:r>
      <w:r>
        <w:rPr/>
        <w:t>10/09/2009</w:t>
      </w:r>
      <w:r>
        <w:rPr>
          <w:rtl w:val="true"/>
        </w:rPr>
        <w:t xml:space="preserve">. </w:t>
      </w:r>
      <w:r>
        <w:rPr>
          <w:rtl w:val="true"/>
        </w:rPr>
        <w:t>יש לקחת בחשבון שהנאשם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 xml:space="preserve">התיק יובא לפניי ביום </w:t>
      </w:r>
      <w:r>
        <w:rPr/>
        <w:t>13/09/2009</w:t>
      </w:r>
      <w:r>
        <w:rPr>
          <w:rtl w:val="true"/>
        </w:rPr>
        <w:t xml:space="preserve"> </w:t>
      </w:r>
      <w:r>
        <w:rPr>
          <w:rtl w:val="true"/>
        </w:rPr>
        <w:t>כדי לבדוק את תסקיר שירות המבחן</w:t>
      </w:r>
      <w:r>
        <w:rPr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שושנה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שטמר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22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6">
        <w:r>
          <w:rPr>
            <w:rStyle w:val="Hyperlink"/>
            <w:rFonts w:cs="FrankRuehl" w:ascii="FrankRuehl" w:hAnsi="FrankRuehl"/>
            <w:color w:val="0000FF"/>
            <w:u w:val="single"/>
          </w:rPr>
          <w:t>260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7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8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29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30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end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spacing w:lineRule="auto" w:line="360"/>
        <w:ind w:end="0"/>
        <w:jc w:val="both"/>
        <w:rPr/>
      </w:pPr>
      <w:bookmarkStart w:id="11" w:name="ABSTRACT_START"/>
      <w:bookmarkEnd w:id="11"/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>במספר עבירות המתייחסות לפרשה של ירי לעבר המתלוננים</w:t>
      </w:r>
      <w:r>
        <w:rPr>
          <w:rtl w:val="true"/>
        </w:rPr>
        <w:t xml:space="preserve">. </w:t>
      </w:r>
      <w:r>
        <w:rPr>
          <w:rtl w:val="true"/>
        </w:rPr>
        <w:t>המתלוננים לא נפגעו מהירי</w:t>
      </w:r>
      <w:r>
        <w:rPr>
          <w:rtl w:val="true"/>
        </w:rPr>
        <w:t xml:space="preserve">, </w:t>
      </w:r>
      <w:r>
        <w:rPr>
          <w:rtl w:val="true"/>
        </w:rPr>
        <w:t>אולם קירותיו של המשרד הסמוך וחלונותיו נפגעו כתוצאה מהירי וכן נפגעו רכב פרטי שעמד בסמוך למשרד</w:t>
      </w:r>
      <w:r>
        <w:rPr>
          <w:rtl w:val="true"/>
        </w:rPr>
        <w:t xml:space="preserve">, </w:t>
      </w:r>
      <w:r>
        <w:rPr>
          <w:rtl w:val="true"/>
        </w:rPr>
        <w:t>משאית פסולת ורכב נוסף שהיה בנסיעה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12" w:name="ABSTRACT_END"/>
      <w:bookmarkEnd w:id="12"/>
      <w:r>
        <w:rPr>
          <w:rtl w:val="true"/>
        </w:rPr>
        <w:t>הנאשם 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שמשפטו הופרד ממשפטו של 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הגיע למקום הירי על מנת לחלץ את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ואדם נוסף שהיה יחד עם נאשם מס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יצוין עוד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והאחר נשאו נשק ללא היתר כדין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הסדר הטיעון כלל גם הסכמה לעניין העונש</w:t>
      </w:r>
      <w:r>
        <w:rPr>
          <w:rtl w:val="true"/>
        </w:rPr>
        <w:t xml:space="preserve">: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 כספי לשיקול דעת בית 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חומרת המעשים עולה בבירור מהתיאור הקצר שתיארתי את עובדות כתב האישום</w:t>
      </w:r>
      <w:r>
        <w:rPr>
          <w:rtl w:val="true"/>
        </w:rPr>
        <w:t xml:space="preserve">. </w:t>
      </w:r>
      <w:r>
        <w:rPr>
          <w:rtl w:val="true"/>
        </w:rPr>
        <w:t>מדובר בנטילת החוק לידיהם</w:t>
      </w:r>
      <w:r>
        <w:rPr>
          <w:rtl w:val="true"/>
        </w:rPr>
        <w:t xml:space="preserve">, </w:t>
      </w:r>
      <w:r>
        <w:rPr>
          <w:rtl w:val="true"/>
        </w:rPr>
        <w:t xml:space="preserve">בבריונות ובהטלת מורא </w:t>
      </w:r>
      <w:r>
        <w:rPr>
          <w:rtl w:val="true"/>
        </w:rPr>
        <w:t>(</w:t>
      </w:r>
      <w:r>
        <w:rPr>
          <w:rtl w:val="true"/>
        </w:rPr>
        <w:t>מסיבה לא ידועה</w:t>
      </w:r>
      <w:r>
        <w:rPr>
          <w:rtl w:val="true"/>
        </w:rPr>
        <w:t xml:space="preserve">). </w:t>
      </w:r>
      <w:r>
        <w:rPr>
          <w:rtl w:val="true"/>
        </w:rPr>
        <w:t>אין לי ספק שיש להעניש על כך בחומרה מתוך מטרה להלחם באלימות שפשטה בחברתנו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מנגד עמדו לזכותו של הנאשם הודאתו </w:t>
      </w:r>
      <w:r>
        <w:rPr>
          <w:rtl w:val="true"/>
        </w:rPr>
        <w:t>(</w:t>
      </w:r>
      <w:r>
        <w:rPr>
          <w:rtl w:val="true"/>
        </w:rPr>
        <w:t>אם כי לאחר שמיעת מספר עדים</w:t>
      </w:r>
      <w:r>
        <w:rPr>
          <w:rtl w:val="true"/>
        </w:rPr>
        <w:t xml:space="preserve">), </w:t>
      </w:r>
      <w:r>
        <w:rPr>
          <w:rtl w:val="true"/>
        </w:rPr>
        <w:t>העובדה שאין לו הרשעות קודמות וטענת התביעה שהיו קשיים מסוימים</w:t>
      </w:r>
      <w:r>
        <w:rPr>
          <w:rtl w:val="true"/>
        </w:rPr>
        <w:t xml:space="preserve">, </w:t>
      </w:r>
      <w:r>
        <w:rPr>
          <w:rtl w:val="true"/>
        </w:rPr>
        <w:t>ראיתים בפרשת הראיות של התביעה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לאחר ששקלתי את העונש המוצע בהסדר הטיעון</w:t>
      </w:r>
      <w:r>
        <w:rPr>
          <w:rtl w:val="true"/>
        </w:rPr>
        <w:t xml:space="preserve">, </w:t>
      </w:r>
      <w:r>
        <w:rPr>
          <w:rtl w:val="true"/>
        </w:rPr>
        <w:t>החלטתי לכבד אותו ואני גוזרת על הנאשם 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מאסר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מאסר זה יחושב מיום המעצר</w:t>
      </w:r>
      <w:r>
        <w:rPr>
          <w:rtl w:val="true"/>
        </w:rPr>
        <w:t xml:space="preserve">: </w:t>
      </w:r>
      <w:r>
        <w:rPr/>
        <w:t>12/03/2009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מאסר על תנאי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עבירה מהעבירות שבכתב האישום ושהן פשע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>ויורשע 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כמו כן אני גוזרת על הנאשם קנס בסך של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 xml:space="preserve">אשר ישולם 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יום מיום שחרורו ממאסרו זה</w:t>
      </w:r>
      <w:r>
        <w:rPr>
          <w:rtl w:val="true"/>
        </w:rPr>
        <w:t xml:space="preserve">. </w:t>
      </w:r>
      <w:r>
        <w:rPr>
          <w:rtl w:val="true"/>
        </w:rPr>
        <w:t>סכום הקנס ישא הפרשי הצמדה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זכות ערעור לבית המשפט העליון 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ו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28/06/2009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שושנה שטמר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שושנה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שטמר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שחר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אליאס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sectPr>
      <w:headerReference w:type="default" r:id="rId31"/>
      <w:footerReference w:type="default" r:id="rId32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/Users/liorb/Downloads/study2025-p2/ME-09-03-16318-966.doc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16318-03-09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חאלד מחמאמיד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6318-03-09"/>
    <w:docVar w:name="caseId" w:val="12184920"/>
    <w:docVar w:name="deriveClass" w:val="NGCS.Protocol.BL.Client.ProtocolBLClientCriminal"/>
    <w:docVar w:name="firstPageNumber" w:val="48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380859"/>
    <w:docVar w:name="releaseSign" w:val="0"/>
    <w:docVar w:name="sittingDateTime" w:val="28/06/2009 12:45     "/>
    <w:docVar w:name="sittingId" w:val="15628068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5z0">
    <w:name w:val="WW8Num5z0"/>
    <w:qFormat/>
    <w:rPr/>
  </w:style>
  <w:style w:type="character" w:styleId="WW8Num7z0">
    <w:name w:val="WW8Num7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360"/>
    </w:pPr>
    <w:rPr>
      <w:rFonts w:ascii="Times New Roman" w:hAnsi="Times New Roman" w:eastAsia="Times New Roman" w:cs="Times New Roman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/333.a.1" TargetMode="External"/><Relationship Id="rId3" Type="http://schemas.openxmlformats.org/officeDocument/2006/relationships/hyperlink" Target="http://www.nevo.co.il/law/70301/335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260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13e" TargetMode="External"/><Relationship Id="rId16" Type="http://schemas.openxmlformats.org/officeDocument/2006/relationships/hyperlink" Target="http://www.nevo.co.il/law/70301/29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52" TargetMode="External"/><Relationship Id="rId19" Type="http://schemas.openxmlformats.org/officeDocument/2006/relationships/hyperlink" Target="http://www.nevo.co.il/law/70301/29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5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/144.a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0301/260.a" TargetMode="External"/><Relationship Id="rId27" Type="http://schemas.openxmlformats.org/officeDocument/2006/relationships/hyperlink" Target="http://www.nevo.co.il/law/70301/333.a.1" TargetMode="External"/><Relationship Id="rId28" Type="http://schemas.openxmlformats.org/officeDocument/2006/relationships/hyperlink" Target="http://www.nevo.co.il/law/70301/335" TargetMode="External"/><Relationship Id="rId29" Type="http://schemas.openxmlformats.org/officeDocument/2006/relationships/hyperlink" Target="http://www.nevo.co.il/law/70301/413e" TargetMode="External"/><Relationship Id="rId30" Type="http://schemas.openxmlformats.org/officeDocument/2006/relationships/hyperlink" Target="http://www.nevo.co.il/law/70301/452" TargetMode="External"/><Relationship Id="rId31" Type="http://schemas.openxmlformats.org/officeDocument/2006/relationships/header" Target="header1.xml"/><Relationship Id="rId32" Type="http://schemas.openxmlformats.org/officeDocument/2006/relationships/footer" Target="footer1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2016-09-21T16:05:00Z</dcterms:created>
  <dc:creator> </dc:creator>
  <dc:description/>
  <cp:keywords/>
  <dc:language>en-IL</dc:language>
  <cp:lastModifiedBy>orit</cp:lastModifiedBy>
  <cp:lastPrinted>2009-06-28T16:06:00Z</cp:lastPrinted>
  <dcterms:modified xsi:type="dcterms:W3CDTF">2016-09-21T16:05:00Z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חאלד מחמאמיד ;חוסאם מחמאמיד </vt:lpwstr>
  </property>
  <property fmtid="{D5CDD505-2E9C-101B-9397-08002B2CF9AE}" pid="4" name="CITY">
    <vt:lpwstr>חי'</vt:lpwstr>
  </property>
  <property fmtid="{D5CDD505-2E9C-101B-9397-08002B2CF9AE}" pid="5" name="DATE">
    <vt:lpwstr>20090628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שושנה שטמר</vt:lpwstr>
  </property>
  <property fmtid="{D5CDD505-2E9C-101B-9397-08002B2CF9AE}" pid="9" name="LAWLISTTMP1">
    <vt:lpwstr>70301/333.a.1;335;025;029;260.a;144.a;144.b;413e;452</vt:lpwstr>
  </property>
  <property fmtid="{D5CDD505-2E9C-101B-9397-08002B2CF9AE}" pid="10" name="LAWYER">
    <vt:lpwstr>מאיה חזאן דהן;בויראת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16318</vt:lpwstr>
  </property>
  <property fmtid="{D5CDD505-2E9C-101B-9397-08002B2CF9AE}" pid="24" name="NEWPARTB">
    <vt:lpwstr>03</vt:lpwstr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390020090628</vt:lpwstr>
  </property>
  <property fmtid="{D5CDD505-2E9C-101B-9397-08002B2CF9AE}" pid="36" name="TYPE_N_DATE">
    <vt:lpwstr>39020090628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