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16370-02-20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מטר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אברהים בולוס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סעיד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מטר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bookmarkStart w:id="7" w:name="ABSTRACT_START"/>
      <w:bookmarkEnd w:id="7"/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לאחר ניהול הוכחות בביצוע עבירות של נשיאת והחזקת נשק ותחמושת לפי </w:t>
      </w:r>
      <w:hyperlink r:id="rId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וסיפא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hyperlink r:id="rId9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וירי מנשק חם לפי סעיף </w:t>
      </w:r>
      <w:hyperlink r:id="rId11"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כתב האישום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בהתאם 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למאשימה במדויק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עובר לתאריך </w:t>
      </w:r>
      <w:r>
        <w:rPr>
          <w:rFonts w:cs="David" w:ascii="David" w:hAnsi="David"/>
          <w:sz w:val="24"/>
          <w:szCs w:val="24"/>
        </w:rPr>
        <w:t>1.12.19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שהה הנאשם ברכב מסוג מאזדה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שני אנשים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זהותם אינה ידועה למאשימה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האחרים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;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אחד מהם ישב במושב הנהג של הרכב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הנהג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והשני ישב במושב האחורי של הרכב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האחר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ישב במושב הנוסע הקדמי של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כשבידיו תת מקלע מאולתר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אותו הוא נשא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וכאשר הוא עוטה כפפות על ידיו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לצדו ישב הנהג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בידיו נשק מאולתר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ידו הימנית עטה הנהג כפפה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start="360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בשלב מסוים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טען מחסנית בכדורים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הכניס את המחסנית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וירה מספר פעמים מבעד לחלון מושב הנוסע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שהאחר מתעד בהסרטה את כל המהלך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start="360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בשלב מסוים בסמוך למתואר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הנאשם מחסנית בכדורים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הכניס את המחסנית לנשק אשר נשא בידיו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אותו וירה פעם נוספת באמצעותו שני כדורים מבעד לחלון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בד בבד טען הנהג מחסנית בכדורים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הכניס את המחסנית לנשק שהיה בידיו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אותו וירה בו מבעד לחלון מושב הנהג ברכב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start="360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החזיק ונשא נשק ותחמושת בלא רשות על פי דין וירה מנשק חם שלא כדין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 בהכרעת הדין מיום </w:t>
      </w:r>
      <w:r>
        <w:rPr>
          <w:rFonts w:cs="David" w:ascii="David" w:hAnsi="David"/>
          <w:sz w:val="24"/>
          <w:szCs w:val="24"/>
        </w:rPr>
        <w:t>6.8.20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לאחר שמיעת ראיות וסיכומי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שיוחסו לו בכתב האישום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firstLine="360" w:start="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 הצדדים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לעונש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284"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טיעוני המאשימה לעונש בדיון שהתקיים ביום </w:t>
      </w:r>
      <w:r>
        <w:rPr>
          <w:rFonts w:cs="David" w:ascii="David" w:hAnsi="David"/>
          <w:sz w:val="24"/>
          <w:szCs w:val="24"/>
        </w:rPr>
        <w:t>10.8.20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ובכתב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עמדה  על הערכים החברתיים המוגנים  שנפגעו כמו  ההגנה על ביטחון ושלום הציבור וגם חיי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הדגישה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קיימות נסיבות מחמירות במעשי הנאשם לאור סוג הנשק בו עשה שימוש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אדישות הנאשם לאפשרות הפגיעה בחיי אדם תוך סיכון הנאשם עצמו ושני אנשים נוספים ששהו עמו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ברכב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אדישות ואף התרברבות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 </w:t>
      </w:r>
      <w:r>
        <w:rPr>
          <w:rFonts w:ascii="David" w:hAnsi="David" w:cs="David"/>
          <w:sz w:val="24"/>
          <w:sz w:val="24"/>
          <w:szCs w:val="24"/>
          <w:rtl w:val="true"/>
        </w:rPr>
        <w:t>שבאו לידי ביטוי ב</w:t>
      </w:r>
      <w:r>
        <w:rPr>
          <w:rFonts w:ascii="David" w:hAnsi="David" w:cs="David"/>
          <w:sz w:val="24"/>
          <w:sz w:val="24"/>
          <w:szCs w:val="24"/>
          <w:rtl w:val="true"/>
        </w:rPr>
        <w:t>רצון לתעד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לצלם ולשמוע מוזיקה כשהשימוש בנשק מהווה </w:t>
      </w:r>
      <w:r>
        <w:rPr>
          <w:rFonts w:ascii="David" w:hAnsi="David" w:cs="David"/>
          <w:sz w:val="24"/>
          <w:sz w:val="24"/>
          <w:szCs w:val="24"/>
          <w:rtl w:val="true"/>
        </w:rPr>
        <w:t>מעין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בילו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תפיסת הנאשם לפיה נשק וירי מעידים על עוצמה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שהנאשם לא מסר במשטרה את זהות שני האנשים עימם ביצע את העבירות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הוסיפה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למעשי הנאשם קדם תכנון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חלקו של הנאשם מרכזי והנזק שהיה צפוי להיגרם ממעשי הנאשם הינו נזק רב לרבות פגיעה בשלמות הגוף ובחיי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גם סקרה את מדיניות הענישה הנהוגה ומקובלת כשהיא מזכירה את מגמת ההחמרה  שקיבלה ביטוי בפסיקתו של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מכל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בדעה כי מתחם העונש ההולם כולל עונש מאסר  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לבסוף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בדעה 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מיקום העונש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במקרה זה </w:t>
      </w:r>
      <w:r>
        <w:rPr>
          <w:rFonts w:ascii="David" w:hAnsi="David" w:cs="David"/>
          <w:sz w:val="24"/>
          <w:sz w:val="24"/>
          <w:szCs w:val="24"/>
          <w:rtl w:val="true"/>
        </w:rPr>
        <w:t>צריך להיות באמצע מתחם העונש המבוקש וזאת לאור העדר עבר פלילי מצד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ומצד שני נוכח אי נטילת אחריות וניהול התיק עד תום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26"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טען </w:t>
      </w:r>
      <w:r>
        <w:rPr>
          <w:rFonts w:ascii="David" w:hAnsi="David" w:cs="David"/>
          <w:sz w:val="24"/>
          <w:sz w:val="24"/>
          <w:szCs w:val="24"/>
          <w:rtl w:val="true"/>
        </w:rPr>
        <w:t>בדיון  ובטיעוניו בכתב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הינו </w:t>
      </w:r>
      <w:r>
        <w:rPr>
          <w:rFonts w:ascii="David" w:hAnsi="David" w:cs="David"/>
          <w:sz w:val="24"/>
          <w:sz w:val="24"/>
          <w:szCs w:val="24"/>
          <w:rtl w:val="true"/>
        </w:rPr>
        <w:t>בחור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זוהי הסתבכותו הראשונה ועצם היותו במעצר הרתיעה אותו מאוד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הוא המפרנס היחידי של משפחתו אשר סובלת ממצב כלכלי קשה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העבירות בהן הורשע לא בוצעו כלפי אדם או רכוש מסוים ולא </w:t>
      </w:r>
      <w:r>
        <w:rPr>
          <w:rFonts w:ascii="David" w:hAnsi="David" w:cs="David"/>
          <w:sz w:val="24"/>
          <w:sz w:val="24"/>
          <w:szCs w:val="24"/>
          <w:rtl w:val="true"/>
        </w:rPr>
        <w:t>גרמו ל</w:t>
      </w:r>
      <w:r>
        <w:rPr>
          <w:rFonts w:ascii="David" w:hAnsi="David" w:cs="David"/>
          <w:sz w:val="24"/>
          <w:sz w:val="24"/>
          <w:szCs w:val="24"/>
          <w:rtl w:val="true"/>
        </w:rPr>
        <w:t>נזק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26"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עתר לקבוע מתחם עונש הולם שבין מספר חודשי מאסר בעבודות שירות ועד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כן התבקש בית המשפט לחרוג ממתחם הענישה לקולה לאור הנסיבות שפורטו לעיל ולהגביל את עונשו של הנאשם ב</w:t>
      </w:r>
      <w:r>
        <w:rPr>
          <w:rFonts w:ascii="David" w:hAnsi="David" w:cs="David"/>
          <w:sz w:val="24"/>
          <w:sz w:val="24"/>
          <w:szCs w:val="24"/>
          <w:rtl w:val="true"/>
        </w:rPr>
        <w:t>תקופת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מעצרו  ולכל היותר הטלת מאסר של שנה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שמניינו מתחילת המעצר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26"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בחר </w:t>
      </w:r>
      <w:r>
        <w:rPr>
          <w:rFonts w:ascii="David" w:hAnsi="David" w:cs="David"/>
          <w:sz w:val="24"/>
          <w:sz w:val="24"/>
          <w:szCs w:val="24"/>
          <w:rtl w:val="true"/>
        </w:rPr>
        <w:t>בשתיקה למרות שניתנה לו הזדמנות לומר את דברו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firstLine="36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משקלם הרב של הערכים המוגנים ושכיחותן של עבירות הנשק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עמד לא פעם על החומרה הרבה שבעבירות נשק ועל הפגיעה בערכים המוגנים של שלמות הגוף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חיי אדם ושלום ובטחון הציבור הנפגעים מעבירות אלו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נקט בשנים האחרונות במגמה מחמירה כלפי עבירות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ועמד על כך בפסיקתו באופן תדיר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971/19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געביס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והאסמכתאות 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11.7.19</w:t>
      </w:r>
      <w:r>
        <w:rPr>
          <w:rFonts w:cs="David" w:ascii="David" w:hAnsi="David"/>
          <w:sz w:val="24"/>
          <w:szCs w:val="24"/>
          <w:rtl w:val="true"/>
        </w:rPr>
        <w:t>))</w:t>
      </w:r>
      <w:r>
        <w:rPr>
          <w:rFonts w:cs="David" w:ascii="David" w:hAnsi="David"/>
          <w:sz w:val="24"/>
          <w:szCs w:val="24"/>
          <w:rtl w:val="true"/>
        </w:rPr>
        <w:t>;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גם 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5446/19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25.11.19</w:t>
      </w:r>
      <w:r>
        <w:rPr>
          <w:rFonts w:cs="David" w:ascii="David" w:hAnsi="David"/>
          <w:sz w:val="24"/>
          <w:szCs w:val="24"/>
          <w:rtl w:val="true"/>
        </w:rPr>
        <w:t>):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יונס סובח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5.11.19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טומנות בחובן פוטנציאל רב להסלמה ולפגיעה בביטחון הציבור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ועל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 לתרום את חלקו במיגור תופעה זו שפשתה במקומותינו באמצעות הטלת עונשים מרתיעים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116/13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ועקנין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(‏</w:t>
      </w:r>
      <w:r>
        <w:rPr>
          <w:rFonts w:cs="David" w:ascii="David" w:hAnsi="David"/>
          <w:sz w:val="24"/>
          <w:szCs w:val="24"/>
        </w:rPr>
        <w:t>31.7.2013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3156/11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זראיעה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21.02.2012</w:t>
      </w:r>
      <w:r>
        <w:rPr>
          <w:rFonts w:cs="David" w:ascii="David" w:hAnsi="David"/>
          <w:sz w:val="24"/>
          <w:szCs w:val="24"/>
          <w:rtl w:val="true"/>
        </w:rPr>
        <w:t>))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סלימאן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[</w:t>
      </w:r>
      <w:r>
        <w:rPr>
          <w:rFonts w:cs="David" w:ascii="David" w:hAnsi="David"/>
          <w:sz w:val="24"/>
          <w:szCs w:val="24"/>
        </w:rPr>
        <w:t>19.4.14</w:t>
      </w:r>
      <w:r>
        <w:rPr>
          <w:rFonts w:cs="David" w:ascii="David" w:hAnsi="David"/>
          <w:sz w:val="24"/>
          <w:szCs w:val="24"/>
          <w:rtl w:val="true"/>
        </w:rPr>
        <w:t xml:space="preserve">]; 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2398/14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8.7.14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5681/14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טאטור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1.2.15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2564/19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אזברגה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18.7.19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מידת הפגיעה בערך המוגן   </w:t>
      </w:r>
      <w:r>
        <w:rPr>
          <w:rFonts w:ascii="David" w:hAnsi="David" w:cs="David"/>
          <w:sz w:val="24"/>
          <w:sz w:val="24"/>
          <w:szCs w:val="24"/>
          <w:rtl w:val="true"/>
        </w:rPr>
        <w:t>הינה ברף הבינוני ועד הגבוהה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יש לתת את הדעת לכך שהנאשם ביצע עבירה של נשיאת  כלי נשק מסוג תת מקלע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העולה בסכנה הנשקפת ממנו על אקדח נוכח פוטנציאל ההרס הרב הגלום בכלי נשק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הירי מהרכב נעשה  ללא הבחנה ומטבע הדברים טומן בחובו סיכון ממשי לפגיעה באנשים תמימים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אך בצד זאת יש לציין כי לא נטען ומובן כי  לא הוכח שהירי היה באזור מגורים או במקום בו נוכחים אנשים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הנסיבות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לתת את הדעת לתכנון שקדם לביצוע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נסע ברכב </w:t>
      </w:r>
      <w:r>
        <w:rPr>
          <w:rFonts w:ascii="David" w:hAnsi="David" w:cs="David"/>
          <w:sz w:val="24"/>
          <w:sz w:val="24"/>
          <w:szCs w:val="24"/>
          <w:rtl w:val="true"/>
        </w:rPr>
        <w:t>עם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כפפות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מצויד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שהאירוע מתועד על ידי אדם </w:t>
      </w:r>
      <w:r>
        <w:rPr>
          <w:rFonts w:ascii="David" w:hAnsi="David" w:cs="David"/>
          <w:sz w:val="24"/>
          <w:sz w:val="24"/>
          <w:szCs w:val="24"/>
          <w:rtl w:val="true"/>
        </w:rPr>
        <w:t>נוסף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אמנם בסופו של דבר לא נגרם נזק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פוטנציאל לפגיעה בגוף והסבת נזק לרכוש בעקבות נשיאת וירי מכלי נשק תמיד קיים והסתברות התרחשותו הינה אף גבוהה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קיימות נסיבות נוספות עליהן יש לעמוד כמו  העובדה שהירי נעשה בתור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בילוי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ואף התרברבות תוך תיעוד המעשה באמצעות סרטון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חלקו היחסי של הנאשם בביצוע העבירה הוא מרכזי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שכן </w:t>
      </w:r>
      <w:r>
        <w:rPr>
          <w:rFonts w:ascii="David" w:hAnsi="David" w:cs="David"/>
          <w:sz w:val="24"/>
          <w:sz w:val="24"/>
          <w:szCs w:val="24"/>
          <w:rtl w:val="true"/>
        </w:rPr>
        <w:t>הוא זה שנשא את הנשק ויורה 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לשם עמידה על מדיניות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עיינתי בפסיקה אליה הפנו הצדדים וגם בפסיקה אשר ביסודה עובדות הדומות למקרה זה שלהלן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1509/20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ראפאת נבארי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02.07.2020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זה הנאשם הורשע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יסוד הודאתו בנשיאה והובלה של נשק מסוג תת מקלע מאולתר ובירי מנשק חם באזור מגורים בהיותו נוהג ברכב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נשוי ואב 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עבר פלילי הכולל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הרשעות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הירי שביצע לא גרם לנזק בגוף או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רכוש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שנקבע נע בין </w:t>
      </w:r>
      <w:r>
        <w:rPr>
          <w:rFonts w:cs="David" w:ascii="David" w:hAnsi="David"/>
          <w:sz w:val="24"/>
          <w:szCs w:val="24"/>
        </w:rPr>
        <w:t>20-50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 המחוזי הטיל עונש מאסר בפועל למשך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ורכיבים נוספים של מאסר מותנה וחילוט 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העליון קיבל את ערעור המדינה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ולעניין המתחם נקבע </w:t>
      </w:r>
      <w:r>
        <w:rPr>
          <w:rFonts w:cs="David" w:ascii="David" w:hAnsi="David"/>
          <w:sz w:val="24"/>
          <w:szCs w:val="24"/>
          <w:rtl w:val="true"/>
        </w:rPr>
        <w:t>:"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ולנוכח הריבוי של אירועי ירי באזורי מגורים בעת האחרונה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הרף התחתון של המתחם צריך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לדעתי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להיות גבוה יותר מעשרים חודשי 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וזאת באופן משמעותי</w:t>
      </w:r>
      <w:r>
        <w:rPr>
          <w:rFonts w:cs="David" w:ascii="David" w:hAnsi="David"/>
          <w:sz w:val="24"/>
          <w:szCs w:val="24"/>
          <w:rtl w:val="true"/>
        </w:rPr>
        <w:t>"(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כן 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 העליון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עמיד את עונש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בפועל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בניכוי ימי מעצרו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והזכיר </w:t>
      </w:r>
      <w:r>
        <w:rPr>
          <w:rFonts w:cs="David" w:ascii="David" w:hAnsi="David"/>
          <w:sz w:val="24"/>
          <w:szCs w:val="24"/>
          <w:rtl w:val="true"/>
        </w:rPr>
        <w:t>:"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לאור הצורך החברתי להחמיר בענישה כל אימת שמדובר בירי באזור מגורים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בהתחשב במכלול הנסיבות – לרבות השימוש שעשה המשיב בנשק אוטומטי מאולתר – הנני סבור אפוא כי ראוי היה להטיל על המשיב מאסר בפועל לתקופה ממושכת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עניין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נבארי</w:t>
      </w:r>
      <w:r>
        <w:rPr>
          <w:rFonts w:cs="David" w:ascii="David" w:hAnsi="David"/>
          <w:sz w:val="24"/>
          <w:szCs w:val="24"/>
          <w:rtl w:val="true"/>
        </w:rPr>
        <w:t>)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1357/12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סאלח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דבאח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7.3.13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המדובר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צעיר 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על פי הודאתו בעבירות של נשיאת נשק וירי מנשק חם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נסע ברכב ביחד עם אחר  כשהוא נושא אקדח ובתוכו מחסנית ותחמושת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הוציא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את האקדח מחלון הרכב וירה באוויר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השית על הנאשם עונש של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העליון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ציין כי למרות שמדיניות הענישה בכגון דא נמצאת במגמת החמרה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אולם במקרה זה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המחוזי החמיר עם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הערעור התקבל  בכך שרכיב המאסר בפועל הופחת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2006/12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אסדי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28.3.12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 המדינה על קולת עונשו של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על פי הודאתו בעבירות של נשיאת נשק ותחמושת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ויריות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הגיע לביתו של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כשהוא נושא אקדח טעון בכדורים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איים בפגיעה ב</w:t>
      </w:r>
      <w:r>
        <w:rPr>
          <w:rFonts w:ascii="David" w:hAnsi="David" w:cs="David"/>
          <w:sz w:val="24"/>
          <w:sz w:val="24"/>
          <w:szCs w:val="24"/>
          <w:rtl w:val="true"/>
        </w:rPr>
        <w:t>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וירה כדור לעבר חלקו העליון של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הטיל על הנאשם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ערעור המדינה על קולת העונש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נסיבותיו האישיות של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שלקח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היעדר עבר פלילי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ולסיכויי השיקום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3772-01-16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14.11.16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על יסוד הודאתו </w:t>
      </w:r>
      <w:r>
        <w:rPr>
          <w:rFonts w:ascii="David" w:hAnsi="David" w:cs="David"/>
          <w:sz w:val="24"/>
          <w:sz w:val="24"/>
          <w:szCs w:val="24"/>
          <w:rtl w:val="true"/>
        </w:rPr>
        <w:t>בכך שהחזיק יחד עם אחר בצוותא חדא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תת מקלע מאולתר וכן מחסנית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 להחזקתם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הנאשם את תת המקלע יחד עם המחסנית והכדורים למקום מסוים ושם ירה באמצעות תת המקלע המאולתר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לשני 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תואר ראשון בהנדסה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ראוי הנע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והוטל עונש של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מכל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שנתתי את דעתי לערכים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למידת הפגיעה 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לנסיבות ביצוע העבירה ומדיניות הענישה הנהוגה לרבות למגמת ההחמרה אני סבור כי מתחם העונש הראוי הוא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נוסף לעונשים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מקודם עמדתי על קביעותיו של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 העליון 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נבארי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ובעיקר לעניין קביעת מתחם הענישה שתחילתו מעל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אך בשונה מענייננו בפס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נבארי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ירי באזור מגורים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הטומנת בחובה סכנה ממשית לחיי אדם והעונש אשר בצידה עומד על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ואילו במקרה זה הנאשם הורשע בעבירת ירי מנשק חם שלא כדין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אשר הסכנה הנשקפת ממנה פחותה יחסית והעונש שבצידה עומד על שנתיים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זהו השוני העומד ביסוד קביעת מתחם העונש הסוטה במידה מסוימת מזה שנקבע בעניין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נבארי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גזירת העונש המתאים לנאשם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נעדר כל עבר פלילי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זוהי בעצם הנסיבה היחידה אותה ניתן לזקוף לזכותו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החליט לנהל את ההליך עד תום ובכך אבד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נקודת זכות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ונסיבה מקלה בעלת משקל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וגם לא ראה להביא ראיות כלשהן לעניין העונש שבכוחן לתמוך בטענתו לנסיבות אישיות וכלכליות 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נותרו בגדר טענות בעלמא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נאשם זה לא הביע חרטה כלשהיא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לקח אחריות  ואף במסגרת חקירתו  במשטרה לא שתף פעולה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סרב למסור את פרטי המעורבים הנוספים ואף העביר מסרים לחשוד נוסף בל ישתף פעולה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סע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hyperlink r:id="rId28"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א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למרות היעדרו של עבר פלילי אלא שהתנהלות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בזמן החקירה ולאורך כל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מעידה על אופי עברייני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כן נראה כי  הנאשם לא הפיק את הלקח וקיים סיכון  כי יחזור לסורו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למרות שזו הסתבכותו הראשונה עם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שלנאשם זה יש להעביר מסר תקיף בקביעת עונש  מרתיע המתקרב לאמצע המתחם שלעיל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מכל האמור ובאיזון בין השיקולים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דן את הנאשם לעונשים שלהלן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בפועל למשך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תחילתם מיום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יעבור הנאשם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כל עבירת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 ירי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יעבור הנאשם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מיום שחרורו ממאסר כל עבירת נשק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 ירי </w:t>
      </w:r>
      <w:r>
        <w:rPr>
          <w:rFonts w:ascii="David" w:hAnsi="David" w:cs="David"/>
          <w:sz w:val="24"/>
          <w:sz w:val="24"/>
          <w:szCs w:val="24"/>
          <w:rtl w:val="true"/>
        </w:rPr>
        <w:t>מסוג עוון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זכות ערעור 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אלול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לביא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bookmarkEnd w:id="10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באמצעות </w:t>
      </w:r>
      <w:r>
        <w:rPr>
          <w:rFonts w:cs="Arial" w:ascii="Arial" w:hAnsi="Arial"/>
        </w:rPr>
        <w:t>VC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סעיד מטר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אברהים בולוס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16370-02-20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מטר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rFonts w:ascii="David" w:hAnsi="David" w:eastAsia="Calibri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WW8Num3z0">
    <w:name w:val="WW8Num3z0"/>
    <w:qFormat/>
    <w:rPr>
      <w:rFonts w:ascii="David" w:hAnsi="David" w:eastAsia="Calibri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.a" TargetMode="External"/><Relationship Id="rId6" Type="http://schemas.openxmlformats.org/officeDocument/2006/relationships/hyperlink" Target="http://www.nevo.co.il/law/70301/340a.b" TargetMode="External"/><Relationship Id="rId7" Type="http://schemas.openxmlformats.org/officeDocument/2006/relationships/hyperlink" Target="http://www.nevo.co.il/law/70301/40ja.6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a" TargetMode="External"/><Relationship Id="rId12" Type="http://schemas.openxmlformats.org/officeDocument/2006/relationships/hyperlink" Target="http://www.nevo.co.il/case/25430243" TargetMode="External"/><Relationship Id="rId13" Type="http://schemas.openxmlformats.org/officeDocument/2006/relationships/hyperlink" Target="http://www.nevo.co.il/case/25940943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5568354" TargetMode="External"/><Relationship Id="rId16" Type="http://schemas.openxmlformats.org/officeDocument/2006/relationships/hyperlink" Target="http://www.nevo.co.il/case/5878682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13093744" TargetMode="External"/><Relationship Id="rId19" Type="http://schemas.openxmlformats.org/officeDocument/2006/relationships/hyperlink" Target="http://www.nevo.co.il/case/17954222" TargetMode="External"/><Relationship Id="rId20" Type="http://schemas.openxmlformats.org/officeDocument/2006/relationships/hyperlink" Target="http://www.nevo.co.il/case/25612982" TargetMode="External"/><Relationship Id="rId21" Type="http://schemas.openxmlformats.org/officeDocument/2006/relationships/hyperlink" Target="http://www.nevo.co.il/case/26492590" TargetMode="External"/><Relationship Id="rId22" Type="http://schemas.openxmlformats.org/officeDocument/2006/relationships/hyperlink" Target="http://www.nevo.co.il/case/5575978" TargetMode="External"/><Relationship Id="rId23" Type="http://schemas.openxmlformats.org/officeDocument/2006/relationships/hyperlink" Target="http://www.nevo.co.il/case/5578534" TargetMode="External"/><Relationship Id="rId24" Type="http://schemas.openxmlformats.org/officeDocument/2006/relationships/hyperlink" Target="http://www.nevo.co.il/case/20854263" TargetMode="External"/><Relationship Id="rId25" Type="http://schemas.openxmlformats.org/officeDocument/2006/relationships/hyperlink" Target="http://www.nevo.co.il/law/70301/340a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0a.a" TargetMode="External"/><Relationship Id="rId28" Type="http://schemas.openxmlformats.org/officeDocument/2006/relationships/hyperlink" Target="http://www.nevo.co.il/law/70301/40ja.6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2021-10-11T08:32:00Z</dcterms:created>
  <dc:creator> </dc:creator>
  <dc:description/>
  <cp:keywords/>
  <dc:language>en-IL</dc:language>
  <cp:lastModifiedBy>h1</cp:lastModifiedBy>
  <dcterms:modified xsi:type="dcterms:W3CDTF">2021-10-11T08:32:00Z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סעיד מטר</vt:lpwstr>
  </property>
  <property fmtid="{D5CDD505-2E9C-101B-9397-08002B2CF9AE}" pid="4" name="CASESLISTTMP1">
    <vt:lpwstr>25430243;25940943;25824863;5568354;5878682;7791493;13093744;17954222;25612982;26492590;5575978;5578534;20854263</vt:lpwstr>
  </property>
  <property fmtid="{D5CDD505-2E9C-101B-9397-08002B2CF9AE}" pid="5" name="CITY">
    <vt:lpwstr>חי'</vt:lpwstr>
  </property>
  <property fmtid="{D5CDD505-2E9C-101B-9397-08002B2CF9AE}" pid="6" name="DATE">
    <vt:lpwstr>20200915</vt:lpwstr>
  </property>
  <property fmtid="{D5CDD505-2E9C-101B-9397-08002B2CF9AE}" pid="7" name="ISABSTRACT">
    <vt:lpwstr>Y</vt:lpwstr>
  </property>
  <property fmtid="{D5CDD505-2E9C-101B-9397-08002B2CF9AE}" pid="8" name="JUDGE">
    <vt:lpwstr>אברהים בולוס</vt:lpwstr>
  </property>
  <property fmtid="{D5CDD505-2E9C-101B-9397-08002B2CF9AE}" pid="9" name="LAWLISTTMP1">
    <vt:lpwstr>70301/144.a;144.b;340a.a:2;340a.b;40ja.6</vt:lpwstr>
  </property>
  <property fmtid="{D5CDD505-2E9C-101B-9397-08002B2CF9AE}" pid="10" name="NEWPARTA">
    <vt:lpwstr>16370</vt:lpwstr>
  </property>
  <property fmtid="{D5CDD505-2E9C-101B-9397-08002B2CF9AE}" pid="11" name="NEWPARTB">
    <vt:lpwstr>02</vt:lpwstr>
  </property>
  <property fmtid="{D5CDD505-2E9C-101B-9397-08002B2CF9AE}" pid="12" name="NEWPARTC">
    <vt:lpwstr>20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390020200915</vt:lpwstr>
  </property>
  <property fmtid="{D5CDD505-2E9C-101B-9397-08002B2CF9AE}" pid="17" name="TYPE_N_DATE">
    <vt:lpwstr>39020200915</vt:lpwstr>
  </property>
  <property fmtid="{D5CDD505-2E9C-101B-9397-08002B2CF9AE}" pid="18" name="WORDNUMPAGES">
    <vt:lpwstr>6</vt:lpwstr>
  </property>
</Properties>
</file>