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13"/>
        <w:gridCol w:w="280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913" w:type="dxa"/>
            <w:tcBorders/>
          </w:tcPr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16505-02-18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סעדי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280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יחיאל ליפשיץ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יחיא סעדי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באוח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ששון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פהד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נסיב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End w:id="4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הרשעתו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הודייתו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לגוף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מפוקח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יתפתה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ברגעי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ופחד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והנסיבות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5" w:name="ABSTRACT_END"/>
      <w:bookmarkStart w:id="6" w:name="ABSTRACT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7" w:name="PsakDin"/>
            <w:bookmarkStart w:id="8" w:name="LawTable_End"/>
            <w:bookmarkEnd w:id="7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8" w:end="426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כללי</w:t>
      </w:r>
    </w:p>
    <w:p>
      <w:pPr>
        <w:pStyle w:val="Normal"/>
        <w:spacing w:lineRule="auto" w:line="360"/>
        <w:ind w:start="368" w:end="426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cs="Calibri" w:ascii="Calibri" w:hAnsi="Calibri"/>
          <w:rtl w:val="true"/>
        </w:rPr>
        <w:t>+</w:t>
      </w:r>
      <w:hyperlink r:id="rId9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>–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17.1.18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נהריה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star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</w:rPr>
        <w:t>0.22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קופסא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התואמים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368" w:end="426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8" w:end="426"/>
        <w:jc w:val="both"/>
        <w:rPr/>
      </w:pP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וזאת </w:t>
      </w:r>
      <w:r>
        <w:rPr>
          <w:rFonts w:ascii="Calibri" w:hAnsi="Calibri" w:cs="Calibri"/>
          <w:rtl w:val="true"/>
        </w:rPr>
        <w:t>להבדיל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המודיעינית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מודיעינית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1/2018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10/2016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ונפצע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368" w:end="426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8" w:end="426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טענות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הצדדים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למטרות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והחזקתם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להילחם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בתופעה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שאישרה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נשמעו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368" w:end="426"/>
        <w:contextualSpacing/>
        <w:jc w:val="both"/>
        <w:rPr/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ומצדיקות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בהובלת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ונשיאתו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הנושקות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ההחזקה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>"  (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u w:val="single"/>
          </w:rPr>
          <w:t>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רלוונטיות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ונפצע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בחודש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10/2016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מהתיעוד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הרפואי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שנשקפה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חורשי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1/2018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מהידיעות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המודיעיניות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והכוונות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מבהירים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חוזרת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ורצונו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התואמת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לשיטתם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ובגינן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שהיוו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משמע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כהכרה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אמיתית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טעויותיו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רביעית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המרוחק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בעיותיו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ובקרוב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להיוולד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368" w:end="426"/>
        <w:contextualSpacing/>
        <w:jc w:val="both"/>
        <w:rPr/>
      </w:pPr>
      <w:r>
        <w:rPr>
          <w:rFonts w:ascii="David" w:hAnsi="David"/>
          <w:rtl w:val="true"/>
        </w:rPr>
        <w:t>בדבריו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להסתיר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נישא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עזב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המרוחק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ממוקדי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ובקרוב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ייוולד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דיון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ומסקנות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העיקרון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ובקצרה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תיקון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ההיררכיה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והרתעת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כבענייננו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אובייקטיבי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נלקחים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קונקרטי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מראש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לדוגמה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4088/13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11.6.13</w:t>
      </w:r>
      <w:r>
        <w:rPr>
          <w:rFonts w:cs="David" w:ascii="David" w:hAnsi="David"/>
          <w:rtl w:val="true"/>
        </w:rPr>
        <w:t xml:space="preserve">);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5.6.13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יתפתה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ופחד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19.1.14</w:t>
      </w:r>
      <w:r>
        <w:rPr>
          <w:rFonts w:cs="David" w:ascii="David" w:hAnsi="David"/>
          <w:rtl w:val="true"/>
        </w:rPr>
        <w:t xml:space="preserve">);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3300/06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סנינה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10.8.06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start="368" w:end="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8" w:end="426"/>
        <w:jc w:val="both"/>
        <w:rPr/>
      </w:pP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</w:t>
      </w:r>
      <w:r>
        <w:rPr>
          <w:rFonts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שנסע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כשבכיסי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היו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10/2016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והידיעות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המודיעיניות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צריכות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5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שהביאו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נכללות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 צריכה להיות מתונה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אלמלא כן הדבר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לגיטימציה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ורחובות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יהפכו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יריבו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10/2016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כן כי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1/2018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מודיעיניות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שלעתים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אפנה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cs="Calibri" w:ascii="Calibri" w:hAnsi="Calibri"/>
          <w:rtl w:val="true"/>
        </w:rPr>
        <w:t>" (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גבאלי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17.11.16</w:t>
      </w:r>
      <w:r>
        <w:rPr>
          <w:rFonts w:cs="David" w:ascii="David" w:hAnsi="David"/>
          <w:rtl w:val="true"/>
        </w:rPr>
        <w:t xml:space="preserve">)) </w:t>
      </w:r>
      <w:r>
        <w:rPr>
          <w:rFonts w:cs="Calibri" w:ascii="Calibri" w:hAnsi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59804-01-17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עאזר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18.6.17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הותקפו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יותקפו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6142/17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עאזר</w:t>
      </w:r>
      <w:r>
        <w:rPr>
          <w:rFonts w:ascii="Calibri" w:hAnsi="Calibri" w:cs="Calibri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30.11.17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סיכומו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בניגוד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הבליעה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368" w:end="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368" w:end="426"/>
        <w:contextualSpacing/>
        <w:jc w:val="both"/>
        <w:rPr/>
      </w:pP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מגוונת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שחלקה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שיובהר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898/11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אקרע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2.2.11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בנוגע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לצורך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מרתיעה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כדוגמת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הורשע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המבקש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קבעתי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עמד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פעמים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חומרתן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בכלי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החובה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להשית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המשקף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חומרתן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להרתיע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עבריינים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בכוח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מלבצע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דומות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החזקה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מורשה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להוביל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להסלמה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חמורה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ולתוצאות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קשות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אירוע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יהיה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מעורב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אותו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נושא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..."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אינדיבידואלית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וצלילה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מקדמים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תמעיט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בהפניות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1127/13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גברזגיי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פסקה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בהכרח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3288/14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קריספיל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24.8.14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כשצמוד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משתיק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קול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(!).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קריספיל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בס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24.8.14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וגזר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u w:val="single"/>
          <w:rtl w:val="true"/>
        </w:rPr>
        <w:t>תת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מקלע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גבאלי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שהוזכר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יישוב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סכסוך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לדעת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כיצד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הדברים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מתפתחים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אלמלא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התערבה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המשטרה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באותו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השלב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בנעשה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מהעונש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שנגזר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רלוונטית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התחתונה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ואולם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וזה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העיקר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 xml:space="preserve">באותו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חריגות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368" w:end="426"/>
        <w:contextualSpacing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סוף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דבר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בהתחשב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בערכים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החברתיים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הנפגעים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ומידת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הפגיעה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ביצוע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ומידת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אשמו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לאחר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שלקחתי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בחשבון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הנוהגת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לצד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הראויה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סבורה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ההולם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בענייננו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לטעמי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מהסוג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הנדון</w:t>
      </w:r>
      <w:r>
        <w:rPr>
          <w:rFonts w:ascii="David" w:hAnsi="David"/>
          <w:b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בנסיבות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ביצוען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כאן</w:t>
      </w:r>
      <w:r>
        <w:rPr>
          <w:rFonts w:ascii="David" w:hAnsi="David"/>
          <w:b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להסתפק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בעבודות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ראוי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להטיל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שירוצה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הכלא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מאחורי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סורג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ובריח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. . ".  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368" w:end="426"/>
        <w:contextualSpacing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הקרובים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והמתחמים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מייצגים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השיקולים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21602-01-16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אלפסי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16.2.18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בביקורת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רפואיות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36566-10-17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עמאש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16.1.18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שצוינה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257" w:before="0" w:after="160"/>
        <w:ind w:start="368" w:end="426"/>
        <w:jc w:val="start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start="368" w:end="426"/>
        <w:jc w:val="both"/>
        <w:rPr/>
      </w:pPr>
      <w:r>
        <w:rPr>
          <w:rFonts w:ascii="David" w:hAnsi="David"/>
          <w:b/>
          <w:b/>
          <w:bCs/>
          <w:rtl w:val="true"/>
        </w:rPr>
        <w:t>לאור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האמור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קובע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הראוי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בענייננו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368" w:end="426"/>
        <w:contextualSpacing/>
        <w:jc w:val="both"/>
        <w:rPr/>
      </w:pP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ברובן</w:t>
      </w:r>
      <w:r>
        <w:rPr>
          <w:rFonts w:ascii="David" w:hAnsi="David"/>
          <w:rtl w:val="true"/>
        </w:rPr>
        <w:t xml:space="preserve">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בס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אסקור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הפועלים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הודיית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המוקדמים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לדבריו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ממוקדי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8" w:end="426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8" w:end="426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סוף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דבר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משית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העונשים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הבאים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8" w:end="426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אחד עשר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17.1.18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29.3.18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8" w:end="426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8" w:end="426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8" w:end="426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8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הנאשם יתייצב לריצוי מאסרו בבית מעצר קישון בתאריך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2.7.18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עד השעה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על פי החלטת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כשברשותו תעודת זהות או דרכון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368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368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תנאי השחרור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המעצר באיזוק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בהם היה נתון הנאשם עד כה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ימשיכו לחול עד להתייצבותו לתחילת ריצוי עונשו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המזכירות תשלח עותק מגזר הדין לשב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ס וכן לממונה על הפיקוח האלק</w:t>
      </w:r>
      <w:r>
        <w:rPr>
          <w:rFonts w:cs="Arial" w:ascii="Arial" w:hAnsi="Arial"/>
          <w:u w:val="single"/>
          <w:rtl w:val="true"/>
        </w:rPr>
        <w:t>' (</w:t>
      </w:r>
      <w:r>
        <w:rPr>
          <w:rFonts w:ascii="Arial" w:hAnsi="Arial" w:cs="Arial"/>
          <w:u w:val="single"/>
          <w:rtl w:val="true"/>
        </w:rPr>
        <w:t>במידה והנאשם עצור באיזוק אלק</w:t>
      </w:r>
      <w:r>
        <w:rPr>
          <w:rFonts w:cs="Arial" w:ascii="Arial" w:hAnsi="Arial"/>
          <w:u w:val="single"/>
          <w:rtl w:val="true"/>
        </w:rPr>
        <w:t xml:space="preserve">'). </w:t>
      </w:r>
    </w:p>
    <w:p>
      <w:pPr>
        <w:pStyle w:val="Normal"/>
        <w:ind w:end="0"/>
        <w:jc w:val="start"/>
        <w:rPr>
          <w:rFonts w:ascii="Arial" w:hAnsi="Arial" w:cs="Arial"/>
          <w:color w:val="0000FF"/>
          <w:sz w:val="20"/>
          <w:szCs w:val="20"/>
          <w:u w:val="single"/>
        </w:rPr>
      </w:pPr>
      <w:r>
        <w:rPr>
          <w:rFonts w:cs="Arial" w:ascii="Arial" w:hAnsi="Arial"/>
          <w:color w:val="0000FF"/>
          <w:sz w:val="20"/>
          <w:szCs w:val="20"/>
          <w:u w:val="single"/>
          <w:rtl w:val="true"/>
        </w:rPr>
      </w:r>
    </w:p>
    <w:p>
      <w:pPr>
        <w:pStyle w:val="Normal"/>
        <w:spacing w:lineRule="auto" w:line="360" w:before="0" w:after="0"/>
        <w:ind w:end="426"/>
        <w:contextualSpacing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זכות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ערעור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לבית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המשפט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העליון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368" w:end="426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תמוז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16505-02-18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פרקליטות מחוז חיפה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יחיא סעדי באוח כוחו ששון בר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עוז פהד נסיב 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2"/>
      <w:numFmt w:val="bullet"/>
      <w:lvlText w:val=""/>
      <w:lvlJc w:val="end"/>
      <w:pPr>
        <w:tabs>
          <w:tab w:val="num" w:pos="0"/>
        </w:tabs>
        <w:ind w:start="1306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eastAsia="Times New Roman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5" TargetMode="External"/><Relationship Id="rId4" Type="http://schemas.openxmlformats.org/officeDocument/2006/relationships/hyperlink" Target="http://www.nevo.co.il/law/70301/40i.a.5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i.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7667123" TargetMode="External"/><Relationship Id="rId15" Type="http://schemas.openxmlformats.org/officeDocument/2006/relationships/hyperlink" Target="http://www.nevo.co.il/case/6473037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case/5887664" TargetMode="External"/><Relationship Id="rId18" Type="http://schemas.openxmlformats.org/officeDocument/2006/relationships/hyperlink" Target="http://www.nevo.co.il/law/70301/40i.a.5" TargetMode="External"/><Relationship Id="rId19" Type="http://schemas.openxmlformats.org/officeDocument/2006/relationships/hyperlink" Target="http://www.nevo.co.il/case/21474168" TargetMode="External"/><Relationship Id="rId20" Type="http://schemas.openxmlformats.org/officeDocument/2006/relationships/hyperlink" Target="http://www.nevo.co.il/case/22199040" TargetMode="External"/><Relationship Id="rId21" Type="http://schemas.openxmlformats.org/officeDocument/2006/relationships/hyperlink" Target="http://www.nevo.co.il/case/22875889" TargetMode="External"/><Relationship Id="rId22" Type="http://schemas.openxmlformats.org/officeDocument/2006/relationships/hyperlink" Target="http://www.nevo.co.il/case/5733731" TargetMode="External"/><Relationship Id="rId23" Type="http://schemas.openxmlformats.org/officeDocument/2006/relationships/hyperlink" Target="http://www.nevo.co.il/case/6018516" TargetMode="External"/><Relationship Id="rId24" Type="http://schemas.openxmlformats.org/officeDocument/2006/relationships/hyperlink" Target="http://www.nevo.co.il/case/16913730" TargetMode="External"/><Relationship Id="rId25" Type="http://schemas.openxmlformats.org/officeDocument/2006/relationships/hyperlink" Target="http://www.nevo.co.il/case/22006503" TargetMode="External"/><Relationship Id="rId26" Type="http://schemas.openxmlformats.org/officeDocument/2006/relationships/hyperlink" Target="http://www.nevo.co.il/case/21474168" TargetMode="External"/><Relationship Id="rId27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20874779" TargetMode="External"/><Relationship Id="rId29" Type="http://schemas.openxmlformats.org/officeDocument/2006/relationships/hyperlink" Target="http://www.nevo.co.il/case/23548442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2018-07-15T12:14:00Z</dcterms:created>
  <dc:creator> </dc:creator>
  <dc:description/>
  <cp:keywords/>
  <dc:language>en-IL</dc:language>
  <cp:lastModifiedBy>orly</cp:lastModifiedBy>
  <dcterms:modified xsi:type="dcterms:W3CDTF">2018-07-15T12:14:00Z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יחיא סעדי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7667123;6473037;7791493:2;5887664;21474168:2;22199040;22875889;5733731;6018516;16913730;22006503;20874779;23548442</vt:lpwstr>
  </property>
  <property fmtid="{D5CDD505-2E9C-101B-9397-08002B2CF9AE}" pid="9" name="CITY">
    <vt:lpwstr>חי'</vt:lpwstr>
  </property>
  <property fmtid="{D5CDD505-2E9C-101B-9397-08002B2CF9AE}" pid="10" name="DATE">
    <vt:lpwstr>20180626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יחיאל ליפשיץ</vt:lpwstr>
  </property>
  <property fmtid="{D5CDD505-2E9C-101B-9397-08002B2CF9AE}" pid="14" name="LAWLISTTMP1">
    <vt:lpwstr>70301/144.a;144.b;040i.5;040i.a.5;40ja</vt:lpwstr>
  </property>
  <property fmtid="{D5CDD505-2E9C-101B-9397-08002B2CF9AE}" pid="15" name="LAWYER">
    <vt:lpwstr>ששון בר-עוז;פהד נסיב חאג'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16505</vt:lpwstr>
  </property>
  <property fmtid="{D5CDD505-2E9C-101B-9397-08002B2CF9AE}" pid="23" name="NEWPARTB">
    <vt:lpwstr>02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20180715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390120180626</vt:lpwstr>
  </property>
  <property fmtid="{D5CDD505-2E9C-101B-9397-08002B2CF9AE}" pid="69" name="TYPE_N_DATE">
    <vt:lpwstr>39020180626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