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70"/>
        <w:gridCol w:w="283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67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16520-01-18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ניג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חגית מאק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both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 אביעד דוויק 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מפרקליטות מחוז ירושלים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אמין אבו ניג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מנחם בלום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האד אבו נג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לאה צמל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וחבלה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16">
        <w:r>
          <w:rPr>
            <w:rStyle w:val="Hyperlink"/>
            <w:color w:val="0000FF"/>
            <w:sz w:val="26"/>
            <w:szCs w:val="26"/>
            <w:u w:val="single"/>
          </w:rPr>
          <w:t>335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bookmarkStart w:id="9" w:name="ABSTRACT_END"/>
      <w:bookmarkEnd w:id="9"/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14.7.12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15.7.12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ובבקבוקים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00:15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וברשותם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התיאורים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ומחמוד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24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בנוגע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קבעתי כי הוא נכח במקום האירוע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נשא אקדח ונלווה לאביו ולאחיו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אין ראיות לכך שאף הוא ירה בברכאת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וממילא גם לא לכך שפגע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widowControl w:val="false"/>
        <w:spacing w:lineRule="auto" w:line="360" w:before="0" w:after="24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המכונה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יהאד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ההנחיה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בברכאת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טומנת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ההצטיידות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מסויים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מצליעה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מעגלים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המצביעים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להילחם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בהעלאת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הניזוקים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שנמשכה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מוסד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במשוחררים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חיסול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נפוצה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משרתים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120,000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ובהנחייה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מופחתת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מוסטפא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נהרסה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נעלמו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ולשחררו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העטווה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לבתיהם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מותקפים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ומצומצמת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בברכאת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רובם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שהזכירה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ובבטנו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מצליעה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רודפת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מפירוט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תחזוקה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ואדיב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ופיוס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והחוסן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מהפגיעה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לתסכול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תולדות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תדהמתו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הכאבים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מהפציעה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החיצוני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לברכאת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יהאד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המעידים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אודות חומרתן של עבירות נשק והסכנה הרבה הנשקפת מהן לשלום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נפסק לא אחת כי סכנה זו מחייבת ענישה חמורה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 ב</w:t>
      </w: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4154/16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רונן דהוד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פיסקה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440" w:end="567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מחתרתי 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למכירת כלי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אלה מתאפשרים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6542/11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מוקטראן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פיסקה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25.02.2013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sz w:val="26"/>
          <w:szCs w:val="26"/>
          <w:rtl w:val="true"/>
        </w:rPr>
        <w:t>..."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9543/09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בילאל רחאל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19.1.10</w:t>
      </w:r>
      <w:r>
        <w:rPr>
          <w:rFonts w:cs="Arial" w:ascii="Arial" w:hAnsi="Arial"/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שהנשק נוטל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הוא פוגע בגוף האדם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פגיעה גופנית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והבעתה האוחזת את הקרבנות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ובסיוע כבענייננו – מחצית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וב</w:t>
      </w: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761/07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מיכאל אדרי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22.2.07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חטאם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ומסוג זה בפרט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התייחסות נוספת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קונקרטית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הענישה ניתן ללמוד מ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4697/11</w:t>
        </w:r>
      </w:hyperlink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סילמאן אלצאנע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24.3.13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סילמאן אלצאנע</w:t>
      </w:r>
      <w:r>
        <w:rPr>
          <w:rFonts w:cs="Arial" w:ascii="Arial" w:hAnsi="Arial"/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 w:before="0" w:after="240"/>
        <w:ind w:start="1559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חברה מתוקנת אינה יכולה להשלים עם פתרון סכסוכים בנשק קר או חם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במיוחד כאשר תופעות מסוג זה מתרחשות חדשות לבקרים ולא פעם בתחום המשפחה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תרומתו של בית המשפט למאמץ שנועד למגר התופעה צריכה לקבל ביטוי ברמת הענישה הנקוטה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נוכח פסקי הדין שהוצגו בפני הערכאה הדיונית ובפנינו אנו חוששים כי ברמת הענישה הנהוגה כיום אין די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וספק אם רכיב ההרתעה זכה בה למענה הולם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מקובלת עלינו עמדת המדינה כי העונש הראוי במקרים מסוג זה צריך להיות חמור מזה שהושת במקרה שבפנינו וראוי בנסיבות המתאימות שיהיה בן שתי ספרות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אנו מצפים כי רמת הענישה אותה אנו מכתיבים תיושם בפועל על ידי הערכאות קמא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3">
        <w:r>
          <w:rPr>
            <w:rStyle w:val="Hyperlink"/>
            <w:rFonts w:ascii="David" w:hAnsi="David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sz w:val="26"/>
            <w:szCs w:val="26"/>
            <w:u w:val="single"/>
          </w:rPr>
          <w:t>2251/11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נפאע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4.12.11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בהדרגה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4406/19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יונס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5.11.19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אלרון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559" w:end="567"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"...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מספקת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ולהגן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ביסודה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נפיצותן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ההופכות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מדינה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b/>
          <w:b/>
          <w:bCs/>
          <w:sz w:val="26"/>
          <w:sz w:val="26"/>
          <w:szCs w:val="26"/>
          <w:rtl w:val="true"/>
        </w:rPr>
        <w:t>ולתת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שלפנינו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לטעמי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חריגים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נדרשת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התערבותו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כערכאת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לנקוט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הכוללות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סכסוכים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חטאם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התהלכו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אירועי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המדווחים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למשטרה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למשל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דו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מבקר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התמודדות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ואירועי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ביישובי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וביישובים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מעורבים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28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2018</w:t>
      </w:r>
      <w:r>
        <w:rPr>
          <w:b/>
          <w:bCs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לקריאה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נרגשת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להגברת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האכיפה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פתרון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סכסוכים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בסביבת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למשל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צוין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559" w:end="567"/>
        <w:jc w:val="both"/>
        <w:rPr/>
      </w:pP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הפוקדת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מקומותינו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ומותירה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והרס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והתריע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התפשטות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ולמגרה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הנחרץ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b/>
          <w:bCs/>
          <w:sz w:val="26"/>
          <w:szCs w:val="26"/>
          <w:rtl w:val="true"/>
        </w:rPr>
        <w:t>' (</w:t>
      </w:r>
      <w:hyperlink r:id="rId25"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</w:rPr>
          <w:t>32/14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עמאש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17.9.2015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ראו גם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hyperlink r:id="rId26"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</w:rPr>
          <w:t>4611/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</w:rPr>
          <w:t>18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נאסר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b/>
          <w:bCs/>
          <w:sz w:val="26"/>
          <w:szCs w:val="26"/>
        </w:rPr>
        <w:t>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10.3.2019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27"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b/>
            <w:bCs/>
            <w:color w:val="0000FF"/>
            <w:sz w:val="26"/>
            <w:szCs w:val="26"/>
            <w:u w:val="single"/>
          </w:rPr>
          <w:t>5015/15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ריאן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29.3.2016</w:t>
      </w:r>
      <w:r>
        <w:rPr>
          <w:b/>
          <w:bCs/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בטקס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פתיחת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הנוכחית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עורכי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בנצרת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מערכת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מאמצים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וממשיך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הגלומה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מכך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ריבוי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לנקוט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ופציעתם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קורבנות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נחוץ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ובנפש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מוסרים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מוסיפים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בביטחון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לגורמים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ובכללם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טרור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דהיום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סכסוכים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בקרבנות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559" w:end="567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אזרחים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התשתית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הגורם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בלעדו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איין</w:t>
      </w:r>
      <w:r>
        <w:rPr>
          <w:b/>
          <w:bCs/>
          <w:sz w:val="26"/>
          <w:szCs w:val="26"/>
          <w:rtl w:val="true"/>
        </w:rPr>
        <w:t>" (</w:t>
      </w:r>
      <w:r>
        <w:rPr>
          <w:rFonts w:cs="Calibri" w:ascii="Calibri" w:hAnsi="Calibri"/>
          <w:b/>
          <w:bCs/>
          <w:sz w:val="26"/>
          <w:szCs w:val="26"/>
        </w:rPr>
        <w:t>causa sine qua non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למגוון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החל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קרובות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מלכתחילה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נרכש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b/>
          <w:b/>
          <w:bCs/>
          <w:sz w:val="26"/>
          <w:sz w:val="26"/>
          <w:szCs w:val="26"/>
          <w:rtl w:val="true"/>
        </w:rPr>
        <w:t>הזמינות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מעודדת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ולחרפת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תוצאותיהן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1559" w:end="567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הישראלית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למאמץ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אזכיר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גישתו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ייצור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יבוא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rFonts w:ascii="David" w:hAnsi="David" w:cs="Times New Roman"/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ascii="David" w:hAnsi="David" w:eastAsia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Times New Roman" w:ascii="David" w:hAnsi="David"/>
          <w:b/>
          <w:bCs/>
          <w:color w:val="000000"/>
          <w:sz w:val="26"/>
          <w:szCs w:val="26"/>
        </w:rPr>
        <w:t>144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b/>
          <w:bCs/>
          <w:sz w:val="26"/>
          <w:szCs w:val="26"/>
          <w:rtl w:val="true"/>
        </w:rPr>
        <w:t xml:space="preserve">);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נוספת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1559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ביעור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הפשיעה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האלימה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לסוגיה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הרווחות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במקומותינו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ייבוש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הביצה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המשמשת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לגידולן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מהלך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הירתמות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לסוגיהן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הוסגר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סולחה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וליישוב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שתוצאותיה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תוחלת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זמינותם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הימצאותו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המבדילה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2564/19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אברהים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אזברגה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18.7.19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12-40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4345/18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חמודא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עמאר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29.11.18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4344/18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16.8.19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9830/17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פלאח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8.3.18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24-48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וכשהבחין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במרפסת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5010/17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שטרית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20.6.19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השדרה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מהמותניים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6-14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מתגלגל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4377/16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רמדאן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6.10.16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הדרגתית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העצמית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4559/16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מועתאז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נוסיראת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22.6.16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נדחתה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6101/16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28.6.17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וקסדה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הקרבן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8434/15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יוסי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30.11.15</w:t>
      </w:r>
      <w:r>
        <w:rPr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4697/11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סילמאן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אלצאנע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ומזהים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ספרות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66310-07-17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6.1.19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b/>
          <w:bCs/>
          <w:sz w:val="26"/>
          <w:szCs w:val="26"/>
        </w:rPr>
      </w:pP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11059-05-12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באסל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19.5.13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21128-09-12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חאתם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כאיד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מועטי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עברי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6.3.14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2350/14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אחמאתוב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עברי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18.1.15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2064/14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בלאל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קואסמי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24.2.15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מדמיע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7538/14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19.11.15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5015/15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29.3.16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הגולגולת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3599/16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מסעוד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14.11.17</w:t>
      </w:r>
      <w:r>
        <w:rPr>
          <w:sz w:val="26"/>
          <w:szCs w:val="26"/>
          <w:rtl w:val="true"/>
        </w:rPr>
        <w:t>);</w:t>
      </w:r>
      <w:r>
        <w:rPr>
          <w:b/>
          <w:bCs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6459/17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קדושים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27.2.18</w:t>
      </w:r>
      <w:r>
        <w:rPr>
          <w:sz w:val="26"/>
          <w:szCs w:val="26"/>
          <w:rtl w:val="true"/>
        </w:rPr>
        <w:t xml:space="preserve">). 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מהנאשמים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בברכאת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והלחיצה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ההדק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8-12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בקטטה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בברכאת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סטרילי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נייטרלי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בעיצומו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16.9.19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כמפקחים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הרלוונטיות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מהתקופה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2,500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מההפקדה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15,000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1.1.20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2,500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16.9.19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</w:t>
      </w:r>
      <w:r>
        <w:rPr>
          <w:sz w:val="26"/>
          <w:sz w:val="26"/>
          <w:szCs w:val="26"/>
          <w:rtl w:val="true"/>
        </w:rPr>
        <w:t>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 חשוון תש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בנוכחות הצדדים ובאי כוחם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16520-01-18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אמין אבו ניג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29.a.1.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.;329.a.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335.a.2" TargetMode="External"/><Relationship Id="rId17" Type="http://schemas.openxmlformats.org/officeDocument/2006/relationships/hyperlink" Target="http://www.nevo.co.il/law/70301/329" TargetMode="External"/><Relationship Id="rId18" Type="http://schemas.openxmlformats.org/officeDocument/2006/relationships/hyperlink" Target="http://www.nevo.co.il/case/21474520" TargetMode="External"/><Relationship Id="rId19" Type="http://schemas.openxmlformats.org/officeDocument/2006/relationships/hyperlink" Target="http://www.nevo.co.il/case/5594979" TargetMode="External"/><Relationship Id="rId20" Type="http://schemas.openxmlformats.org/officeDocument/2006/relationships/hyperlink" Target="http://www.nevo.co.il/case/5764932" TargetMode="External"/><Relationship Id="rId21" Type="http://schemas.openxmlformats.org/officeDocument/2006/relationships/hyperlink" Target="http://www.nevo.co.il/case/5724364" TargetMode="External"/><Relationship Id="rId22" Type="http://schemas.openxmlformats.org/officeDocument/2006/relationships/hyperlink" Target="http://www.nevo.co.il/case/5753941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0291305" TargetMode="External"/><Relationship Id="rId26" Type="http://schemas.openxmlformats.org/officeDocument/2006/relationships/hyperlink" Target="http://www.nevo.co.il/case/24303104" TargetMode="External"/><Relationship Id="rId27" Type="http://schemas.openxmlformats.org/officeDocument/2006/relationships/hyperlink" Target="http://www.nevo.co.il/case/20450586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5612982" TargetMode="External"/><Relationship Id="rId30" Type="http://schemas.openxmlformats.org/officeDocument/2006/relationships/hyperlink" Target="http://www.nevo.co.il/case/24269595" TargetMode="External"/><Relationship Id="rId31" Type="http://schemas.openxmlformats.org/officeDocument/2006/relationships/hyperlink" Target="http://www.nevo.co.il/case/24269594" TargetMode="External"/><Relationship Id="rId32" Type="http://schemas.openxmlformats.org/officeDocument/2006/relationships/hyperlink" Target="http://www.nevo.co.il/case/23509035" TargetMode="External"/><Relationship Id="rId33" Type="http://schemas.openxmlformats.org/officeDocument/2006/relationships/hyperlink" Target="http://www.nevo.co.il/case/22791135" TargetMode="External"/><Relationship Id="rId34" Type="http://schemas.openxmlformats.org/officeDocument/2006/relationships/hyperlink" Target="http://www.nevo.co.il/case/21474922" TargetMode="External"/><Relationship Id="rId35" Type="http://schemas.openxmlformats.org/officeDocument/2006/relationships/hyperlink" Target="http://www.nevo.co.il/case/21475135" TargetMode="External"/><Relationship Id="rId36" Type="http://schemas.openxmlformats.org/officeDocument/2006/relationships/hyperlink" Target="http://www.nevo.co.il/case/21476990" TargetMode="External"/><Relationship Id="rId37" Type="http://schemas.openxmlformats.org/officeDocument/2006/relationships/hyperlink" Target="http://www.nevo.co.il/case/5753941" TargetMode="External"/><Relationship Id="rId38" Type="http://schemas.openxmlformats.org/officeDocument/2006/relationships/hyperlink" Target="http://www.nevo.co.il/case/22869398" TargetMode="External"/><Relationship Id="rId39" Type="http://schemas.openxmlformats.org/officeDocument/2006/relationships/hyperlink" Target="http://www.nevo.co.il/case/4691716" TargetMode="External"/><Relationship Id="rId40" Type="http://schemas.openxmlformats.org/officeDocument/2006/relationships/hyperlink" Target="http://www.nevo.co.il/case/3915508" TargetMode="External"/><Relationship Id="rId41" Type="http://schemas.openxmlformats.org/officeDocument/2006/relationships/hyperlink" Target="http://www.nevo.co.il/case/13087555" TargetMode="External"/><Relationship Id="rId42" Type="http://schemas.openxmlformats.org/officeDocument/2006/relationships/hyperlink" Target="http://www.nevo.co.il/case/13060043" TargetMode="External"/><Relationship Id="rId43" Type="http://schemas.openxmlformats.org/officeDocument/2006/relationships/hyperlink" Target="http://www.nevo.co.il/case/18653715" TargetMode="External"/><Relationship Id="rId44" Type="http://schemas.openxmlformats.org/officeDocument/2006/relationships/hyperlink" Target="http://www.nevo.co.il/case/20450586" TargetMode="External"/><Relationship Id="rId45" Type="http://schemas.openxmlformats.org/officeDocument/2006/relationships/hyperlink" Target="http://www.nevo.co.il/case/21477135" TargetMode="External"/><Relationship Id="rId46" Type="http://schemas.openxmlformats.org/officeDocument/2006/relationships/hyperlink" Target="http://www.nevo.co.il/case/22919929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2019-11-25T12:52:00Z</dcterms:created>
  <dc:creator> </dc:creator>
  <dc:description/>
  <cp:keywords/>
  <dc:language>en-IL</dc:language>
  <cp:lastModifiedBy>h10</cp:lastModifiedBy>
  <dcterms:modified xsi:type="dcterms:W3CDTF">2019-11-25T12:52:00Z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אמין אבו ניג'מה;ג'האד אבו נג'מה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ProcID=133;209&amp;PartA=8434&amp;PartC=15</vt:lpwstr>
  </property>
  <property fmtid="{D5CDD505-2E9C-101B-9397-08002B2CF9AE}" pid="9" name="CASESLISTTMP1">
    <vt:lpwstr>21474520;5594979;5764932;5724364;5753941:2;5821327;25824863;20291305;24303104;20450586:2;25612982;24269595;24269594;23509035;22791135;21474922;21475135;21476990;22869398;4691716;3915508;13087555;13060043;18653715;21477135;22919929</vt:lpwstr>
  </property>
  <property fmtid="{D5CDD505-2E9C-101B-9397-08002B2CF9AE}" pid="10" name="CITY">
    <vt:lpwstr>י-ם</vt:lpwstr>
  </property>
  <property fmtid="{D5CDD505-2E9C-101B-9397-08002B2CF9AE}" pid="11" name="DATE">
    <vt:lpwstr>20191120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חגית מאק קלמנוביץ</vt:lpwstr>
  </property>
  <property fmtid="{D5CDD505-2E9C-101B-9397-08002B2CF9AE}" pid="15" name="LAWLISTTMP1">
    <vt:lpwstr>70301/144.b:2;329.a.1;329.a.2;333;335.a.1;335.a.2;329</vt:lpwstr>
  </property>
  <property fmtid="{D5CDD505-2E9C-101B-9397-08002B2CF9AE}" pid="16" name="LAWYER">
    <vt:lpwstr>אביעד דוויק;מנחם בלום;לאה צמל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16520</vt:lpwstr>
  </property>
  <property fmtid="{D5CDD505-2E9C-101B-9397-08002B2CF9AE}" pid="23" name="NEWPARTB">
    <vt:lpwstr>01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390020191120</vt:lpwstr>
  </property>
  <property fmtid="{D5CDD505-2E9C-101B-9397-08002B2CF9AE}" pid="35" name="TYPE_N_DATE">
    <vt:lpwstr>39020191120</vt:lpwstr>
  </property>
  <property fmtid="{D5CDD505-2E9C-101B-9397-08002B2CF9AE}" pid="36" name="VOLUME">
    <vt:lpwstr/>
  </property>
  <property fmtid="{D5CDD505-2E9C-101B-9397-08002B2CF9AE}" pid="37" name="WORDNUMPAGES">
    <vt:lpwstr>16</vt:lpwstr>
  </property>
</Properties>
</file>