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192"/>
        <w:gridCol w:w="3264"/>
        <w:gridCol w:w="315"/>
      </w:tblGrid>
      <w:tr>
        <w:trPr>
          <w:trHeight w:val="418" w:hRule="exact"/>
        </w:trPr>
        <w:tc>
          <w:tcPr>
            <w:tcW w:w="8505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241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16541-01-21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אלנעאמי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ענת חולתא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המתמחה ישראל בן לולו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אדם אלנעאמי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ויעוד חזותי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אורי דייגי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הנאשם הורשע בהתאם להודאתו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החזקת נשק אביזרים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b/>
          <w:bCs/>
          <w:rtl w:val="true"/>
        </w:rPr>
        <w:t>").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החזקת סמים מסוכנים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סעיף </w:t>
      </w:r>
      <w:hyperlink r:id="rId9"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)+(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הפקודה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bookmarkStart w:id="10" w:name="ABSTRACT_END"/>
      <w:bookmarkEnd w:id="10"/>
      <w:r>
        <w:rPr>
          <w:rFonts w:ascii="David" w:hAnsi="David"/>
          <w:rtl w:val="true"/>
        </w:rPr>
        <w:t>על פי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לתאריך </w:t>
      </w:r>
      <w:r>
        <w:rPr>
          <w:rFonts w:cs="David" w:ascii="David" w:hAnsi="David"/>
        </w:rPr>
        <w:t>23.12.20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מתגוררים בו גם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ותחמושת מהסוגים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רובה לא תקין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נקירה חלשה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מסוג קראבין ומחסנית מתאימה שהוחבאו בתוך צינור אינסטלציה במחסן הבית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רימון יד מאולתר שהוחבא בתוך תנור ישן בתוך מחסן בחצר הבית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אקדח תופי מסוג </w:t>
      </w:r>
      <w:r>
        <w:rPr>
          <w:rFonts w:cs="David" w:ascii="David" w:hAnsi="David"/>
        </w:rPr>
        <w:t>Webley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ושישה כדורי אקדח בקוטר תשעה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שהוחבאו בתוך תנור ישן בחצר הבית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בקוטר תשעה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תשעה כדורים בקוטר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ארבע מחסניות לרובה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עובר לתאריך </w:t>
      </w:r>
      <w:r>
        <w:rPr>
          <w:rFonts w:cs="David" w:ascii="David" w:hAnsi="David"/>
        </w:rPr>
        <w:t>23.12.20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בקומה השלישית של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ובחדר השינה שלו במרתף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קנבוס באריזות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במשקל כולל של </w:t>
      </w:r>
      <w:r>
        <w:rPr>
          <w:rFonts w:cs="David" w:ascii="David" w:hAnsi="David"/>
        </w:rPr>
        <w:t>273.19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להסדר הטיעון שבין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להטיל על הנאשם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ורכיבי ענישה נלווים של 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פסילת רישיון נהיגה בפועל ועל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טענה לעונש באופן חופשי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כן הוגש תסקיר שירות המבחן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תסקיר שירות המבחן מתאריך </w:t>
      </w:r>
      <w:r>
        <w:rPr>
          <w:rFonts w:cs="David" w:ascii="David" w:hAnsi="David"/>
        </w:rPr>
        <w:t>25.11.21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התגורר בבית הוריו טרם מעצרו ולא עבד למשך כעשרה חודשים ולפני כן עבד עם אביו בתחום החקלאות לתקופה של שש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וכי במהלך לימודיו החל להשתמש בחשיש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תיאר חיי משפחה נורמטיביים לאורך תקופה ארוכה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שנגדעה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 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נישואיו של אביו לאישה שניה כנגד רצונם של בני משפחתו ואמו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מסר כי על רקע בעיות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נוצרו מספר עימותים בינו לבין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כללו אלימות פיזית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הובילו להפסקת עבודתו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מאז החמרת היחסים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הפסיק לפרנס את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הפך להיות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כורחו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המפרנס העיקרי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זה החל גם לסחור בסמים לאחר שלא הצליח להשתלב במסגרת תעסוקתית לאחר פרוץ מגיפת הקורונה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משפחתה של אשתו השנייה של אביו מתנגדת לנישואיהם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התפתח סכסוך בין המשפחות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מספר מקרי אלימות בין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חלקם כללו גם שימוש בנשק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בעקבות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חודש הקשר עם אביו וכיום הם מצויים בקשר קרוב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הסכסוך בין המשפחות עודנו קיים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נמסר כי הנאשם נעדר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לשימוש בחומרים משני תודעה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נמסר כי החל להשתמש בהם בגיל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שיתף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מיום מעצרו הפסיק את השימוש בסמים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נכונות להשתתפות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גורמי הטיפול התרשמו כי הבעת נכונותו מונעת מגורמים חיצוניים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כגון שיקולים משפטיים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בהתייחס לעבירות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מודה בביצוען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מספר חודשים עובר למעצרו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הסכסוך בין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התרחש ירי לעבר ביתו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בעקבות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 להסתייע בחבר קרוב ולרכוש ממנו נשק לצורכי הגנה עצמית ונקמה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בהערכת הסיכוי לשיקום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 המבחן התרשם כי הנאשם בעל תחושת מחויבות ואחריות כלפי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תפקד לרוב באופן תקין במהלך חייו וללא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בהערכת הסיכון לעבריינות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נמצא בשלב גיבוש זהותו העצמית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ושהה תקופה משמעותית ללא תעסוקה עובר למעצרו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שהיווה עבורו גורם סיכון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ההתרשמות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חבר לגורמים שוליים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ברכישת סמים ונשק ומעורב בסכסוך פעיל ומצוי בסיכון להתדרדרות בתחום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האמור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נעדר גבולות פנימיים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מתקשה ליישם גבולות חיצונים כגבולות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נוכח כל האמור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בשקלול גורמי הסיכוי לצד הסיכוי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שירות המבחן המליץ על ענישה מוחשית והרתעתית בדרך של מאסר בפועל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 לעונש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עדויות וראיות לעונש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2.12.21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העידה אמו של הנאשם לעונש מטעם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העדה מסרה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כל שנות חייו עם אביו ואף תיפקד כמנהל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בשנתיים האחרונות החל סכסוך במשפחה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אשתו השנייה של אביו של הנאשם עברה להתגורר בבית אשר נבנה במקור עבור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היום קיימות בעיות בינה לבין אשתו השנייה של בעלה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מסרה על היתקלות אלימה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נבהלה כאשר הבינה שבנה הגיע למצב הזה והיא חשה כאב כתוצאה מכך שבנה מצוי במעצר זמן רב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כמו כן הוגשו מטעם ההגנה חוות דעת מומחה נשק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וערך מתוך אתר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וויקיפדיה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לגבי אקדח </w:t>
      </w:r>
      <w:r>
        <w:rPr>
          <w:rFonts w:cs="David" w:ascii="David" w:hAnsi="David"/>
        </w:rPr>
        <w:t>Webley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טיעוני </w:t>
      </w:r>
      <w:r>
        <w:rPr>
          <w:rFonts w:ascii="David" w:hAnsi="David"/>
          <w:b/>
          <w:b/>
          <w:bCs/>
          <w:rtl w:val="true"/>
        </w:rPr>
        <w:t xml:space="preserve">המאשימה </w:t>
      </w:r>
      <w:r>
        <w:rPr>
          <w:rFonts w:ascii="David" w:hAnsi="David"/>
          <w:rtl w:val="true"/>
        </w:rPr>
        <w:t>הוגשו בכתב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עמדה המאשימה על הערכים המוגנים אשר נפגעו כתוצאה ממעשי הנאשם ובהם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החובה להגן על חיי אדם ועל תחושת בטחון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שלטון החוק והסדר הציבורי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מעצם טיבן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טמונה חומרה יתרה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הנובעת מהסיכון הרב הכרוך בשימוש בו והעלול להביא לפגיעה בגוף ובחיי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בתקופה זו התוצאות החמורות של שימוש בנשק בלתי חוקי מומחשות ברחבי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במקרה זה הפגיעה בערכים המוגנים היא ברף הגבוה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לכמות כלי הנשק והתחמושת שנתפסו אצל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החזקתו בחצר הבית בקרבת בני המשפחה ובאופן המסכן אותם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 ביצוע העבירה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לעבירה קדם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נלמד מעצם עובדת אחסון כלי הנשק במרוכז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במקום נגיש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בצד תחמושת תואמת ומוכנים לשימוש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הפך מחסן בבית למחסן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הנשק הוחזק למטרה בלתי כשרה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מדיניות הענישה בעבירות של החזקת נשק מחייבת הטלת עונש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על מי שעברו 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הפנה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עוודאנה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עיון בפסיקה מלמד על ענישה במנעד רחב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לקריטריונים שונים שהותוו בפסיקה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לעניין זה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28486-11-15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סלהב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21.3.16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מעורבות הנאשם גם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מחייבת החמרה בענישה נוכח הפגיעה היתרה בערכים המוגנים הדומים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הגנה על שלום הציבור ובריאותו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בהקשר לעבירת הסמים המאשימה מדגישה את הנזקים הקשים וארוכי הטווח אשר נגרמים לחברה וליחיד בעקבות השימוש בסמים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המאשימה מפנה ל</w:t>
      </w:r>
      <w:r>
        <w:rPr>
          <w:rFonts w:ascii="David" w:hAnsi="David"/>
          <w:b/>
          <w:b/>
          <w:bCs/>
          <w:rtl w:val="true"/>
        </w:rPr>
        <w:t>הנחיית פרקליט המדינה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שמטרתה העלאת רמת הענישה הנוהגת בעבירות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כן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עבירות הנשק הן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אזור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עובדה אשר הוכרה בפסיקה כמצדיקה החמרה בענישה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לעניין זה הפנה לפסיקה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r>
        <w:rPr>
          <w:rFonts w:cs="David" w:ascii="David" w:hAnsi="David"/>
          <w:b/>
          <w:bCs/>
        </w:rPr>
        <w:t>4460/19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6294/10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;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27417-11-15</w:t>
        </w:r>
      </w:hyperlink>
      <w:r>
        <w:rPr>
          <w:rFonts w:cs="David" w:ascii="David" w:hAnsi="David"/>
          <w:b/>
          <w:bCs/>
          <w:rtl w:val="true"/>
        </w:rPr>
        <w:t xml:space="preserve">; </w:t>
      </w:r>
      <w:hyperlink r:id="rId1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62651-09-14</w:t>
        </w:r>
      </w:hyperlink>
      <w:r>
        <w:rPr>
          <w:rFonts w:cs="David" w:ascii="David" w:hAnsi="David"/>
          <w:b/>
          <w:bCs/>
          <w:rtl w:val="true"/>
        </w:rPr>
        <w:t xml:space="preserve">; 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4673-08-19</w:t>
        </w:r>
      </w:hyperlink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למספר פסקי דין עליהם סמכה המאשימה את עתירתה העונשית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971/12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;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55132-01-21</w:t>
        </w:r>
      </w:hyperlink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r>
        <w:rPr>
          <w:rFonts w:cs="David" w:ascii="David" w:hAnsi="David"/>
          <w:b/>
          <w:bCs/>
        </w:rPr>
        <w:t>69980-11-20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60805-07-19</w:t>
        </w:r>
      </w:hyperlink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בשים לב לגיל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והודאתו במיוחס 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בטיעון המאשימה לעונש נכתב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כנראה בטעות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לשקול לחומרה את עברו הפלילי והתעבורתי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הדיון הוסכם בין הצדדים כי הנאשם ללא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נמסר גם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וגיליון רישום פלילי או תעבורתי לא הוגשו כראיה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לדעת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כל אחד מפרטי כלי הנשק אותם החזיק הנאשם צריך היה להטיל עליו שנת מאסר לפחות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וכענישה כוללת מתחם העונש ההולם הוא </w:t>
      </w:r>
      <w:r>
        <w:rPr>
          <w:rFonts w:cs="David" w:ascii="David" w:hAnsi="David"/>
        </w:rPr>
        <w:t>4-7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עתירתה לעונש בן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מבטא נכונה את השיקולים הנשקלים בתוך 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עתרה המאשימה להטיל על הנאשם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פסילת רישיון נהיגה ופסילה על תנאי נוכח עבירות הסמים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ascii="David" w:hAnsi="David"/>
          <w:rtl w:val="true"/>
        </w:rPr>
        <w:t xml:space="preserve">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במכלול הנתונים יש להטיל על הנאשם מאסר בפועל של שנתיים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אדם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על מעשיו והודה בהם ובכך 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נכונות הנאשם בנטילת האחריות היא משמעותית מקום בו כלי הנשק והתחמושת נתפסו בבית בו מתגוררים אנשים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שהנשק עשוי היה להיות שייך לכל אחד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בהיעדר ממצאים פורנזיים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הודה ונטל אחריות כבר בשלב החקירה ושיתף פעולה עם רשויות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נסיבות ביצוע העבירה במקרה זה מלמדות על מידת חומרה פחותה מזו שהמאשימה טענה לה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הרובה שנתפס אינו תקין ולא שימש מעולם באירוע פלילי במדינת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מדובר בדרגת חומרה המשתווה להחזקת נשק אוטומטי או רובה צהל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הנשק לא נתפס כשהוא מוכן לפעולה וללא תחמושת בצדו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2732/18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בראנסי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הוובלי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גלוק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מלכתחילה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ולהסתגלותו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חוליה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מתחם העונש ההולם למעשה העבירה נקבע בהתאם לעיקרון ההלימה ולפיו נדרש יחס הולם בין חומרת מעשה העבירה בנסיבותיו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ביישום עיקרון ההלימה וקביעת מתחם העונש במקרה קונקרטי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יתחשב בשלושת אלה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/>
          <w:rtl w:val="true"/>
        </w:rPr>
        <w:t>הערך החברתי שנפגע ומידת הפגיעה בו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מדיניות הענישה הנוהגת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מחלוקת בין הצדדים באשר לערכים המוגנים אשר נפגעו כתוצאה ממעשי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בראש ובראשונה שלום הציבור וביטחונו והסכנה לגופו ולחייו של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ביחס לעבירות הנשק והן ביחס לעבירות הסמים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בהחזקה של נשק ותחמושת שלא כדין טמון סיכון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הנשק הבלתי חוקי יתגלגל לידיים עוינות העוסקות בפעילות פלילית או ביטחונית וייגרם נזק רב עד כדי קיפוח חיי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בהחזקת נשק על רקע סכסוך פעיל טמנה גם פגיעה בשלטון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Arial"/>
          <w:rtl w:val="true"/>
        </w:rPr>
        <w:t>על החומרה שיש לנקוט בעבירות של החזקת נשק ראו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יצחק רפאל פס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</w:rPr>
        <w:t>9/04/2004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0"/>
        <w:ind w:start="1440" w:end="567"/>
        <w:contextualSpacing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כבר נאמר לא אחת בפסיקתנו כי מידת העונש המוטל בגין עבירות המבוצעות בנשק מושפעת מפוטנציאל הסיכון הרב הטמון בנשק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ומהעברתו מיד ליד ללא פיקוח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 המשפט לגזור את הדין בעבירה של החזקה ונשיאה של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 להתחשב בנסיבות בהן באה לידי ביטוי החומרה המיוחדת שבעבירה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יתן בית המשפט דעתו לסוג הנשק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לכמותו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לתכלית שלשמה הוא מוחזק ולסכנה המוחשית שיעשה בו שימוש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השוו</w:t>
      </w:r>
      <w:r>
        <w:rPr>
          <w:rFonts w:cs="Arial" w:ascii="Arial" w:hAnsi="Arial"/>
          <w:b/>
          <w:bCs/>
          <w:rtl w:val="true"/>
        </w:rPr>
        <w:t xml:space="preserve">: </w:t>
      </w:r>
      <w:hyperlink r:id="rId2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625/82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חלמי אבו מוך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פורסם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כאשר מדובר בנשק שעל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טיבו אינו מיועד להגנה עצמית וכל כולו נשק התקפי רב עוצמה אשר השימוש בו יכול להביא להרג ללא הבחנה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בעבירת ההחזקה והנשיאה של אותו נשק חומרה מיוחדת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u w:val="single"/>
          <w:rtl w:val="true"/>
        </w:rPr>
        <w:t>רע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פ</w:t>
      </w:r>
      <w:r>
        <w:rPr>
          <w:rFonts w:ascii="Calibri" w:hAnsi="Calibri" w:cs="Calibri"/>
          <w:u w:val="single"/>
          <w:rtl w:val="true"/>
        </w:rPr>
        <w:t xml:space="preserve"> </w:t>
      </w:r>
      <w:hyperlink r:id="rId23">
        <w:r>
          <w:rPr>
            <w:rStyle w:val="Hyperlink"/>
            <w:rFonts w:cs="Calibri" w:ascii="Calibri" w:hAnsi="Calibri"/>
            <w:color w:val="0000FF"/>
            <w:u w:val="single"/>
          </w:rPr>
          <w:t>6583/06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אגא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5.12.06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שיתפתה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ברגעי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לחץ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ופחד</w:t>
      </w:r>
      <w:r>
        <w:rPr>
          <w:rFonts w:cs="Calibri" w:ascii="Calibri" w:hAnsi="Calibri"/>
          <w:rtl w:val="true"/>
        </w:rPr>
        <w:t>" (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קפדנית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בסביבת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מיתון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חלשה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בחנתי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עבריין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מובהק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נאלץ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במרומז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לגיטימציה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סולימאן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טהור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12-36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הוחלט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Webley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הבריטי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בחינת מדיניות הענישה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בבחינת מדיניות הענישה הנוהגת נלמד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נאשמים הוטלו עונשים במנעד תלוי נסיבות ובהן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ומשך ההחזקה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מטרת ההחזקה וכיוצא באלה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נדונו גם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הדוגמאות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4673-08-19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מוסא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אליו הפנה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 ההגנה על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שהוטלו על צעיר שהחזיק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בעבור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נשק מסוג תת מקלע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בפסק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העבירה של החזקת נשק הפכה למכה של  אזור הדרום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 שיש להתחשב בו במסגרת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23419-01-17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זניד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ערעור המדינה בעניינם של שני 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נתפס מחזיק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ביחד עם מחסנית 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רובה סער מאולתר דמוי </w:t>
      </w:r>
      <w:r>
        <w:rPr>
          <w:rFonts w:cs="Arial" w:ascii="Arial" w:hAnsi="Arial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מחסנית ובה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נתפס מחזיק בשני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כן בצירוף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קבע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בנוגע למשיב שהחזיק את שני האקדחים ומתחם שינוע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בנוגע למשיב שהחזיק אקדח ורובה סער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התקבל 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שהוחמרו עונשי המאסר שהושתו על המשיבים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מצא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כי המתחמים שנקבעו על ידי בית משפט השלום נמוכים יתר על המידה</w:t>
      </w:r>
      <w:r>
        <w:rPr>
          <w:rFonts w:cs="David" w:ascii="David" w:hAnsi="David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אך יצויין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מקרה זה חמור מענייננו לעניין סוג הנשק שהוחזק וכן מידת התאמה שבין כלי הנשק והתחמושת שהוחזקו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22885-05-17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אלאסד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המחוזי אישר מתחם ענישה שנע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בגין החזקת כלי נשק מאולתר </w:t>
      </w:r>
      <w:r>
        <w:rPr>
          <w:rFonts w:ascii="David" w:hAnsi="David"/>
          <w:u w:val="single"/>
          <w:rtl w:val="true"/>
        </w:rPr>
        <w:t>אחד</w:t>
      </w:r>
      <w:r>
        <w:rPr>
          <w:rFonts w:ascii="David" w:hAnsi="David"/>
          <w:rtl w:val="true"/>
        </w:rPr>
        <w:t xml:space="preserve"> מסוג תת מקלע בצירוף מחסנית ובה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שאינו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52091-02-20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 אעסאם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בהחזקת נשק מסוג תת מקלע מאולתר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לצד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הוסלקו בארון מטבח בבית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26496-09-17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אלסאריעה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נדון ערעור ההגנה על חומרת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זה הורשע נאשם בגין עבירה של ניסיון להחזקת אקדח מסוג ברטה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תוקנה לניסיון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כך שהנשק לא היה תקין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כשכלי הנשק הוחזקו בביתו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מתחם כולל שנע בין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עד </w:t>
      </w:r>
      <w:r>
        <w:rPr>
          <w:rFonts w:cs="David" w:ascii="David" w:hAnsi="David"/>
          <w:u w:val="single"/>
        </w:rPr>
        <w:t>42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ההגנה על חומרת העונש נדחה תוך שצויין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חרף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 ואינטרס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שהוגש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תוף שנקבע כי חרף העדר אינדיקציה על שימוש פלילי או אחר המתוכן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אף נסיבותיו האישיות של המערער 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 ללא עבר פלילי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הרי הנסיבות האישיות ואינטרס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נדחים מפני האינטרס הציבורי של מיגור עבירות מסוג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19417-11-16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אלקיעאן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נדון הנאשם לעונש מאסר בפועל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החזקת אקדח חצי אוטומטי אחד בליווית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הענישה 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שירת בעברו בשירות צבאי ארוך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מתחם העונש ההולם בגין החזקת הסמים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לסוג הסם ולכמות 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והשוו</w:t>
      </w:r>
      <w:r>
        <w:rPr>
          <w:rFonts w:cs="David" w:ascii="David" w:hAnsi="David"/>
          <w:rtl w:val="true"/>
        </w:rPr>
        <w:t xml:space="preserve">: </w:t>
      </w:r>
      <w:hyperlink r:id="rId32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322/15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אנח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22.1.15</w:t>
      </w:r>
      <w:r>
        <w:rPr>
          <w:rFonts w:cs="Calibri" w:ascii="Calibri" w:hAnsi="Calibri"/>
          <w:rtl w:val="true"/>
        </w:rPr>
        <w:t xml:space="preserve">); 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24043-04-17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אל קשכר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4.6.17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בשיקלול כלל הנסיבות שהובאו לעיל 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צודקת ההגנה בטיעוניה כי המתחם המחמיר לו 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מתאים למקרה חמור יותר בנסיבותיו – הן מבחינת סוג הנשק והתחמושת שהוחזקו והן מבחינת נסיבות ההחזקה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מתחם העונש ההולם במקרה זה הוא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ענישה נלווית מתאימה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המתאים בגדרי המתחם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יתחשב בית המשפט בשיקולים כלליים ובשיקולים פרטניים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שאינם קשורים בנסיבות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שבפניי מן הראוי לתת את הדעת לנסיבות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צעיר בגילו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הודה במיוחס לו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יקר בניהול הליך מורכב וארוך ונטל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תיאר את מעשיו ואת הרקע בפתיחות ובכנות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עצור מזה למעלה משנה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לראשונה בחייו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התנהל באופן נורמטיבי יחסי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מלבד שימוש עצמי בחשיש מגיל צעיר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הן במישור המשפחתי והן במישור התעסוקתי עד לסכסוך אליו נקלע שלא בטובתו ובעקבות התנהלותו של אביו אשר נישא לאישה שניה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אינו עבריין באופיו או בדפוסי התנהגותו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התרשם מחבירה לגורמים שוליים הן בתחום הסמים והן בתחום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למעורבות אקטיבית בסכסוך המשפחתי ולדפוסים אלימים וקיומה של מסוכנות עתידית בתחום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 הצורך בהרתעת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נכתב כבר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עמדתה העונשית של המאשימה במקרה זה אינה תואמת את מכלול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שתואר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שעמדה מחמירה זו נובעת גם מן הטעות המעוגנת בטיעון לעונש ולפיה הנאשם בעל עבר פלילי ותעבורתי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ששקלתי את מכלול השיקולים כמפורט לעיל יש להטיל על הנאשם עונש בשליש השני של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מצאתי לנכון להטיל על הנאשם פסילת רישיון בפועל מקום בו העבירות לא בוצעו באמצעות כלי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ובהיעדר רישום פלילי או תעבורתי 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פסילת רישיון בפועל במקרה זה עולה לפגוע באופן לא מידתי בסיכויי הנאשם להשתקם ולהשתלב בתעסוקה עם שחרורו ממאסר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לפנים משורת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 הכלכליות של הנאשם ומשפחתו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 בתסקיר ומאחר שעבירות הנשק לא בוצעו על רקע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יוטל על הנאשם קנס כספי מתון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הנגזר מעבירות הסמים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מטילה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 בהתאם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על תנאי לתקופה של</w:t>
      </w:r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המאסר המותנה יופעל אם תוך 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יעבור הנאשם עבירות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המאסר המותנה יופעל אם תוך 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יעבור הנאשם עבירות סמים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18" w:start="1076" w:end="0"/>
        <w:jc w:val="both"/>
        <w:rPr/>
      </w:pP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15.5.22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תשומת לב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 עמידה בתשלום תביא להעמדת הסכום כולו לפירעון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Fonts w:ascii="Arial" w:hAnsi="Arial" w:cs="Arial"/>
          <w:rtl w:val="true"/>
        </w:rPr>
        <w:t>פסילה מלקבל או להחזיק רישיון נהיגה על תנאי למשך שישה 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93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הפסילה תופעל אם תוך תקופה של שנתיים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יעבור הנאשם עבירות סמים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בזאת צו להשמדת מוצגים –</w:t>
      </w:r>
      <w:r>
        <w:rPr>
          <w:rFonts w:ascii="Arial" w:hAnsi="Arial" w:cs="Arial"/>
          <w:b/>
          <w:b/>
          <w:bCs/>
          <w:rtl w:val="true"/>
        </w:rPr>
        <w:t xml:space="preserve"> נשק וסמים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בכפוף לחלוף תקופת הערעור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b/>
          <w:bCs/>
          <w:color w:val="FFFFFF"/>
          <w:sz w:val="2"/>
          <w:szCs w:val="2"/>
        </w:rPr>
        <w:t>54678313</w:t>
      </w: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1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 שבט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David" w:ascii="David" w:hAnsi="David"/>
          <w:b/>
          <w:bCs/>
          <w:sz w:val="26"/>
          <w:szCs w:val="26"/>
        </w:rPr>
        <w:t>2022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ענת חולתא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16541-01-21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אדם אלנעאמי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8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.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7.a.;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6000182" TargetMode="External"/><Relationship Id="rId12" Type="http://schemas.openxmlformats.org/officeDocument/2006/relationships/hyperlink" Target="http://www.nevo.co.il/case/20724438" TargetMode="External"/><Relationship Id="rId13" Type="http://schemas.openxmlformats.org/officeDocument/2006/relationships/hyperlink" Target="http://www.nevo.co.il/case/6058757" TargetMode="External"/><Relationship Id="rId14" Type="http://schemas.openxmlformats.org/officeDocument/2006/relationships/hyperlink" Target="http://www.nevo.co.il/case/20723375" TargetMode="External"/><Relationship Id="rId15" Type="http://schemas.openxmlformats.org/officeDocument/2006/relationships/hyperlink" Target="http://www.nevo.co.il/case/18064004" TargetMode="External"/><Relationship Id="rId16" Type="http://schemas.openxmlformats.org/officeDocument/2006/relationships/hyperlink" Target="http://www.nevo.co.il/case/25923515" TargetMode="External"/><Relationship Id="rId17" Type="http://schemas.openxmlformats.org/officeDocument/2006/relationships/hyperlink" Target="http://www.nevo.co.il/case/5573790" TargetMode="External"/><Relationship Id="rId18" Type="http://schemas.openxmlformats.org/officeDocument/2006/relationships/hyperlink" Target="http://www.nevo.co.il/case/27359355" TargetMode="External"/><Relationship Id="rId19" Type="http://schemas.openxmlformats.org/officeDocument/2006/relationships/hyperlink" Target="http://www.nevo.co.il/case/25898057" TargetMode="External"/><Relationship Id="rId20" Type="http://schemas.openxmlformats.org/officeDocument/2006/relationships/hyperlink" Target="http://www.nevo.co.il/case/23836373" TargetMode="External"/><Relationship Id="rId21" Type="http://schemas.openxmlformats.org/officeDocument/2006/relationships/hyperlink" Target="http://www.nevo.co.il/case/5762686" TargetMode="External"/><Relationship Id="rId22" Type="http://schemas.openxmlformats.org/officeDocument/2006/relationships/hyperlink" Target="http://www.nevo.co.il/case/17929065" TargetMode="External"/><Relationship Id="rId23" Type="http://schemas.openxmlformats.org/officeDocument/2006/relationships/hyperlink" Target="http://www.nevo.co.il/case/6072945" TargetMode="External"/><Relationship Id="rId24" Type="http://schemas.openxmlformats.org/officeDocument/2006/relationships/hyperlink" Target="http://www.nevo.co.il/case/7791493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case/25923515" TargetMode="External"/><Relationship Id="rId27" Type="http://schemas.openxmlformats.org/officeDocument/2006/relationships/hyperlink" Target="http://www.nevo.co.il/case/22112345" TargetMode="External"/><Relationship Id="rId28" Type="http://schemas.openxmlformats.org/officeDocument/2006/relationships/hyperlink" Target="http://www.nevo.co.il/case/22607175" TargetMode="External"/><Relationship Id="rId29" Type="http://schemas.openxmlformats.org/officeDocument/2006/relationships/hyperlink" Target="http://www.nevo.co.il/case/26478630" TargetMode="External"/><Relationship Id="rId30" Type="http://schemas.openxmlformats.org/officeDocument/2006/relationships/hyperlink" Target="http://www.nevo.co.il/case/22976374" TargetMode="External"/><Relationship Id="rId31" Type="http://schemas.openxmlformats.org/officeDocument/2006/relationships/hyperlink" Target="http://www.nevo.co.il/case/21567481" TargetMode="External"/><Relationship Id="rId32" Type="http://schemas.openxmlformats.org/officeDocument/2006/relationships/hyperlink" Target="http://www.nevo.co.il/case/19999565" TargetMode="External"/><Relationship Id="rId33" Type="http://schemas.openxmlformats.org/officeDocument/2006/relationships/hyperlink" Target="http://www.nevo.co.il/case/22535152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2023-01-09T09:31:00Z</dcterms:created>
  <dc:creator> </dc:creator>
  <dc:description/>
  <cp:keywords/>
  <dc:language>en-IL</dc:language>
  <cp:lastModifiedBy>h1</cp:lastModifiedBy>
  <dcterms:modified xsi:type="dcterms:W3CDTF">2023-01-09T09:31:00Z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אלנעאמי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6000182;20724438;6058757;20723375;18064004;25923515:2;5573790;27359355;25898057;23836373;5762686;17929065;6072945;7791493:2;22112345;22607175;26478630;22976374;21567481;19999565;22535152</vt:lpwstr>
  </property>
  <property fmtid="{D5CDD505-2E9C-101B-9397-08002B2CF9AE}" pid="9" name="CITY">
    <vt:lpwstr>ב"ש</vt:lpwstr>
  </property>
  <property fmtid="{D5CDD505-2E9C-101B-9397-08002B2CF9AE}" pid="10" name="DATE">
    <vt:lpwstr>20220124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ענת חולתא</vt:lpwstr>
  </property>
  <property fmtid="{D5CDD505-2E9C-101B-9397-08002B2CF9AE}" pid="14" name="LAWLISTTMP1">
    <vt:lpwstr>70301/144.a</vt:lpwstr>
  </property>
  <property fmtid="{D5CDD505-2E9C-101B-9397-08002B2CF9AE}" pid="15" name="LAWLISTTMP2">
    <vt:lpwstr>4216/007.a;007.c</vt:lpwstr>
  </property>
  <property fmtid="{D5CDD505-2E9C-101B-9397-08002B2CF9AE}" pid="16" name="LAWYER">
    <vt:lpwstr>אורי דייגי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16541</vt:lpwstr>
  </property>
  <property fmtid="{D5CDD505-2E9C-101B-9397-08002B2CF9AE}" pid="23" name="NEWPARTB">
    <vt:lpwstr>01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380020220124</vt:lpwstr>
  </property>
  <property fmtid="{D5CDD505-2E9C-101B-9397-08002B2CF9AE}" pid="35" name="TYPE_N_DATE">
    <vt:lpwstr>38020220124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