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375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07"/>
        <w:gridCol w:w="431"/>
        <w:gridCol w:w="1419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190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16748-08-10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צהיי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1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Lawyer"/>
      <w:bookmarkStart w:id="2" w:name="FirstAppellant"/>
      <w:bookmarkStart w:id="3" w:name="FirstLawyer"/>
      <w:bookmarkStart w:id="4" w:name="FirstAppellant"/>
      <w:bookmarkEnd w:id="3"/>
      <w:bookmarkEnd w:id="4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עודד קלר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אביחי צהיי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אייל שמחוני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34"/>
          <w:szCs w:val="34"/>
        </w:rPr>
      </w:pPr>
      <w:r>
        <w:rPr>
          <w:rFonts w:cs="Arial" w:ascii="Arial" w:hAnsi="Arial"/>
          <w:sz w:val="34"/>
          <w:szCs w:val="34"/>
          <w:rtl w:val="true"/>
        </w:rPr>
      </w:r>
      <w:bookmarkStart w:id="5" w:name="LawTable"/>
      <w:bookmarkStart w:id="6" w:name="PsakDin"/>
      <w:bookmarkStart w:id="7" w:name="LawTable"/>
      <w:bookmarkStart w:id="8" w:name="PsakDin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4"/>
          <w:szCs w:val="34"/>
        </w:rPr>
      </w:pPr>
      <w:r>
        <w:rPr>
          <w:rFonts w:cs="FrankRuehl" w:ascii="FrankRuehl" w:hAnsi="FrankRuehl"/>
          <w:sz w:val="34"/>
          <w:szCs w:val="3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4"/>
          <w:szCs w:val="34"/>
        </w:rPr>
      </w:pPr>
      <w:r>
        <w:rPr>
          <w:rFonts w:cs="Arial" w:ascii="Arial" w:hAnsi="Arial"/>
          <w:sz w:val="34"/>
          <w:szCs w:val="3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4"/>
          <w:szCs w:val="34"/>
        </w:rPr>
      </w:pPr>
      <w:r>
        <w:rPr>
          <w:rFonts w:cs="Arial" w:ascii="Arial" w:hAnsi="Arial"/>
          <w:sz w:val="34"/>
          <w:szCs w:val="3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4"/>
          <w:szCs w:val="34"/>
        </w:rPr>
      </w:pPr>
      <w:r>
        <w:rPr>
          <w:rFonts w:cs="Arial" w:ascii="Arial" w:hAnsi="Arial"/>
          <w:sz w:val="34"/>
          <w:szCs w:val="3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>
        <w:rPr>
          <w:rFonts w:cs="Arial" w:ascii="Arial" w:hAnsi="Arial"/>
          <w:b/>
          <w:bCs/>
          <w:sz w:val="34"/>
          <w:szCs w:val="34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>
        <w:rPr>
          <w:rFonts w:ascii="Arial" w:hAnsi="Arial" w:cs="Arial"/>
          <w:b/>
          <w:b/>
          <w:bCs/>
          <w:sz w:val="34"/>
          <w:sz w:val="34"/>
          <w:szCs w:val="34"/>
          <w:u w:val="single"/>
          <w:rtl w:val="true"/>
        </w:rPr>
        <w:t xml:space="preserve">גזר </w:t>
      </w:r>
      <w:r>
        <w:rPr>
          <w:rFonts w:cs="Arial" w:ascii="Arial" w:hAnsi="Arial"/>
          <w:b/>
          <w:bCs/>
          <w:sz w:val="34"/>
          <w:szCs w:val="34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4"/>
          <w:sz w:val="34"/>
          <w:szCs w:val="34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b/>
          <w:bCs/>
          <w:sz w:val="34"/>
          <w:szCs w:val="3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13" w:name="ABSTRACT_START"/>
      <w:bookmarkEnd w:id="13"/>
      <w:r>
        <w:rPr>
          <w:sz w:val="26"/>
          <w:sz w:val="26"/>
          <w:szCs w:val="26"/>
          <w:rtl w:val="true"/>
        </w:rPr>
        <w:t>הנאשם הורשע על פי הודאתו בעבירות של הפרת הוראה חוקית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חבלה חמורה בנסיבות מחמירות והחזקת נשק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עבירות לפי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הסעיפים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287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, </w:t>
      </w:r>
      <w:hyperlink r:id="rId13">
        <w:r>
          <w:rPr>
            <w:rStyle w:val="Hyperlink"/>
            <w:color w:val="0000FF"/>
            <w:sz w:val="26"/>
            <w:szCs w:val="26"/>
            <w:u w:val="single"/>
          </w:rPr>
          <w:t>333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4">
        <w:r>
          <w:rPr>
            <w:rStyle w:val="Hyperlink"/>
            <w:color w:val="0000FF"/>
            <w:sz w:val="26"/>
            <w:szCs w:val="26"/>
            <w:u w:val="single"/>
          </w:rPr>
          <w:t>335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hyperlink r:id="rId15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בהתאמה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הודאתו של הנאשם באה במסגרת הסדר טיעון במסגרתו הוגש כתב אישום מתוקן 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כ הצדדים הציגו בהסכמה מסגרת ענישה לפיה עתרה התביעה לעונש מאסר בפועל כולל של </w:t>
      </w:r>
      <w:r>
        <w:rPr>
          <w:sz w:val="26"/>
          <w:szCs w:val="26"/>
        </w:rPr>
        <w:t>4.5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ומאסר על תנאי והסניגור טען לעונש באופן פתוח וביקש שיוטל עונש מאסר קל יותר מהעונש לו עתרה התביעה והציע להסתפק בכמחצית מתקופת המאסר שהוצעה על ידי התביעה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 הסדר 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צירף הנאשם והודה בשני תיקים נוספים התלויים ועומדים נגדו בבית המשפט השלום בנתניה והורשע על פי הודאתו ב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sz w:val="26"/>
            <w:szCs w:val="26"/>
          </w:rPr>
          <w:t>35439-01-10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בעבירה של פציעה בנסיבות מחמירות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עבירה לפי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הסעיפים </w:t>
        </w:r>
        <w:r>
          <w:rPr>
            <w:rStyle w:val="Hyperlink"/>
            <w:color w:val="0000FF"/>
            <w:sz w:val="26"/>
            <w:szCs w:val="26"/>
            <w:u w:val="single"/>
          </w:rPr>
          <w:t>334</w:t>
        </w:r>
      </w:hyperlink>
      <w:r>
        <w:rPr>
          <w:sz w:val="26"/>
          <w:szCs w:val="26"/>
          <w:rtl w:val="true"/>
        </w:rPr>
        <w:t xml:space="preserve"> + </w:t>
      </w:r>
      <w:hyperlink r:id="rId19">
        <w:r>
          <w:rPr>
            <w:rStyle w:val="Hyperlink"/>
            <w:color w:val="0000FF"/>
            <w:sz w:val="26"/>
            <w:szCs w:val="26"/>
            <w:u w:val="single"/>
          </w:rPr>
          <w:t>335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חוק העונשין</w:t>
        </w:r>
      </w:hyperlink>
      <w:r>
        <w:rPr>
          <w:sz w:val="26"/>
          <w:szCs w:val="26"/>
          <w:rtl w:val="true"/>
        </w:rPr>
        <w:t xml:space="preserve">)  </w:t>
      </w:r>
      <w:r>
        <w:rPr>
          <w:sz w:val="26"/>
          <w:sz w:val="26"/>
          <w:szCs w:val="26"/>
          <w:rtl w:val="true"/>
        </w:rPr>
        <w:t>וב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 xml:space="preserve">פ </w:t>
      </w:r>
      <w:r>
        <w:rPr>
          <w:color w:val="000000"/>
          <w:sz w:val="26"/>
          <w:szCs w:val="26"/>
        </w:rPr>
        <w:t>5002/09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בעבירה של החזקת סם מסוכן שלא לצריכה עצמית ועבירה לפי 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7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2"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 ל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פקודת הסמים המסוכנים</w:t>
        </w:r>
      </w:hyperlink>
      <w:r>
        <w:rPr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 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על פי העובדות שפורטו ב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sz w:val="26"/>
            <w:szCs w:val="26"/>
          </w:rPr>
          <w:t>35439-01-10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בתאריך </w:t>
      </w:r>
      <w:r>
        <w:rPr>
          <w:sz w:val="26"/>
          <w:szCs w:val="26"/>
        </w:rPr>
        <w:t>4.6.06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 הנאשם את שכנו באמצעות 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 פי העובדות שפורטו 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 xml:space="preserve">פ </w:t>
      </w:r>
      <w:hyperlink r:id="rId25">
        <w:r>
          <w:rPr>
            <w:rStyle w:val="Hyperlink"/>
            <w:color w:val="0000FF"/>
            <w:sz w:val="26"/>
            <w:szCs w:val="26"/>
            <w:u w:val="single"/>
          </w:rPr>
          <w:t>5002/09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בתאריך </w:t>
      </w:r>
      <w:r>
        <w:rPr>
          <w:sz w:val="26"/>
          <w:szCs w:val="26"/>
        </w:rPr>
        <w:t>2.12.03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ביחד עם אחרים ללא היתר בסם מסוכן בסוג קאנבוס במשקל </w:t>
      </w:r>
      <w:r>
        <w:rPr>
          <w:sz w:val="26"/>
          <w:szCs w:val="26"/>
        </w:rPr>
        <w:t>2.767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בתקופה הרלוונטית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שהה הנאשם על פי החלטת 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 xml:space="preserve">ש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 xml:space="preserve">מיום </w:t>
      </w:r>
      <w:r>
        <w:rPr>
          <w:sz w:val="26"/>
          <w:szCs w:val="26"/>
        </w:rPr>
        <w:t>11.7.10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בתנאי מעצר בית בביתו 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 xml:space="preserve">זלמן שניאור </w:t>
      </w:r>
      <w:r>
        <w:rPr>
          <w:sz w:val="26"/>
          <w:szCs w:val="26"/>
        </w:rPr>
        <w:t>25/4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בנתניה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המתלוננים בני ואריק גדילוב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מתגוררים בסמיכות לנאשם ועובר ל </w:t>
      </w:r>
      <w:r>
        <w:rPr>
          <w:sz w:val="26"/>
          <w:szCs w:val="26"/>
        </w:rPr>
        <w:t>21.7.10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התגלע בינם לבין הנאשם סכסוך בענייני סמים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בתאריך </w:t>
      </w:r>
      <w:r>
        <w:rPr>
          <w:sz w:val="26"/>
          <w:szCs w:val="26"/>
        </w:rPr>
        <w:t>21.7.10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 המתלוננים מתחת לביתו של הנאשם וקראו לו לרדת למטה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מאחר והנאשם חשד שהם הגיעו במטרה לפגוע 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התעלם הנאשם מקריאתם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הפר תנאי מעצר הבית ויצא מביתו ונפגש עם אחר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שזהותו אינה ידועה למאשימה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שנשא עמו אקדח ובו מחסנית טעונה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המתלוננים התקרבו לנאשם כשהם מחזיקים בסכין ושוחחו עמו וכשהתלהטו הרוחות שלף בני סכין ודקר באמצעותו את הנאשם בבטנו ובחזהו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בתגובה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נטל הנאשם מן האחר את האקדח וירה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 לעבר רגליו של בני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אריק החל להימלט והנאשם ירה בו כדור אחד שפגע בגבו ונמלט מהמקום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 מהירי חבל הנאשם במתלוננים חבלה חמורה תוך שימוש בנשק 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לאריק נגרם פצע כניסה בגב ופתח יציאה ברום הבטן ונפצעו איברים פנימיים בבטן והוא נזקק לניתוח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נגרם שבר פתוח מתחת לברך שמאל כתוצאה מחדירת הכדור ופצע ביד ימין וברגל שמאל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 נטען בכתב האישום כי באותו יום החזיק הנאשם בביתו מחסנית של אקדח ובתוכה כדורים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התביעה מבקשת לגזור דינו של הנאשם על פי העונש הגבוה המוצע על 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שלהשקפתה הינו עונש סביר ואפילו מקל בשים לב לכל הנסיבות שנשקלו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בטיעוניו לעונש ציין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התביעה כי במכלול השיקולים שקלה התביעה לקולא 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 האירועים שקדמו לירי של הנאשם במתלוננים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במהלכם נדקר הנאשם באופן קשה בחזה ובבטן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והעובדה שהפגיעה במתלוננים היתה ספונטאנית מבלי שקדם לה תכנון מוקדם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 ציין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התביעה לקולא כי המתלוננים לא הועמדו לדין בשל קשיים ראיתיים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הם לא שיתפו פעולה בחקירה למרות פציעתם הקשה והראיות מבוססות על גרסת הנאשם 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השימוש בנשק שעשה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במקום לפנות למשטרה ולהגיש תלונה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לנאשם הרשעה בעבירה של איומים בגינה נדון למאסר של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 ציין 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התביעה  כי לנאשם עבר פסיכיאטרי ונמצא באחד ההליכים כבלתי כשיר לעמוד לדין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התביעה הפנה גם לתיקים שצורפו וציין כי צירופם הנו פורמאלי בלבד וכתב האישום נושא תיק זה הוא שעומד בבסיס העתירה העונשית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הנשק לא נתפס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 בטיעוניו כי הנאשם הוא היחיד העומד לדין על מעשיו למרות שזהותם של הדוקרים ידועה למאשימה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 המלומד הדגיש בטיעוניו כי הגם שהנאשם הגיב באופן לא מידתי לפגיעה 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 להתעלם מפגיעתו הקשה ומטענתו שלא התכוון לפגוע במתלוננים והראיה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שירה לבני לכיוון הרגליים וכל מבוקשו היה להגן על חייו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 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 הנשק לא שייך לנאשם ומי שאחראי להבאת הנשק גם הוא לא הועמד לדין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 חולק שמדובר באירוע חמור וככל שהדעת נותנת ריב בין עבריינים והנסתר בו רב על הגלוי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חמורה במיוחד העובדה שהנשק לא נתפס וככל הנראה שהוא עושה דרכו לידיים עברייניות אחרות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 ספק שהעובדה שהנאשם הינו היחיד הנותן את הדין על מעשיו היא נסיבה לקולא שיש לשקלה במאזן השיקולים לעונש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 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 ניתן להתעלם מכך כי בנסיבות רגילות העונש ההולם עבירה זו הוא חמור בהרבה מזה המוצע 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 התביעה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 ניתן להתעלם מכך כי רק בדרך נס לא היתה תוצאות הפגיעה באריק חמורה יותר ואולי אף קטלנית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 אוכל להיעתר לבקשת הסנגור להסתפק בעונש מאסר בפועל קל יותר מעונש המאסר שייגזר עליו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למרות עמדת התביעה לגבי התיקים המצורפים והגם שנטען שאין בתיקים אלה להחמיר בעונשו של 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הם מלמדים על מי שכבר הסתבך בעבר בעבירות אלימות וגם בעבירת 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 להתעלם מכך כי הנאשם ביצע את העבירה תוך הפרת תנאי מעצר בית ועבירה נוספת של החזקת תחמושת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סיכומו של 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במכלול השיקולים הגעתי למסקנה כי העונש המוצע על ידי התביעה איננו מחמיר עם הנאשם מעבר לנדרש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 זאת בשל הנימוקים לקולא שאין להקל בהם ראש אקל בעונשו במידת מה ואגזור דינו של הנאשם לעונשים 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שנות מאסר בפועל ומניינים מיום מעצרו </w:t>
      </w:r>
      <w:r>
        <w:rPr>
          <w:sz w:val="26"/>
          <w:szCs w:val="26"/>
        </w:rPr>
        <w:t>22/07/10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  <w:tab/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על תנאי למשך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שנים מיום שחרורו ממאסר שלא יעבור עבירת אלימות מכל סוג וכן עבירה לפי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חוק העונשין</w:t>
        </w:r>
      </w:hyperlink>
      <w:r>
        <w:rPr>
          <w:sz w:val="26"/>
          <w:sz w:val="26"/>
          <w:szCs w:val="26"/>
          <w:rtl w:val="true"/>
        </w:rPr>
        <w:t xml:space="preserve"> ועבירה בניגוד ל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פקודת הסמים המסוכנים</w:t>
        </w:r>
      </w:hyperlink>
      <w:r>
        <w:rPr>
          <w:sz w:val="26"/>
          <w:sz w:val="26"/>
          <w:szCs w:val="26"/>
          <w:rtl w:val="true"/>
        </w:rPr>
        <w:t xml:space="preserve"> שהיא מסוג 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חודשי מאסר על תנאי למשך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 שלא יעבור עבירה שעניינה הפרת הוראה חוקית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ניר אלפסה </w:t>
      </w:r>
      <w:r>
        <w:rPr>
          <w:b/>
          <w:b/>
          <w:bCs/>
          <w:rtl w:val="true"/>
        </w:rPr>
        <w:t>בשמו של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אייל שמחוני 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קרן וקסלר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יניאנו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יניאנו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LineNumber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מימוני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16748-08-10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אביחי צהיי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70301/287.a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3538798" TargetMode="External"/><Relationship Id="rId18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3538798" TargetMode="External"/><Relationship Id="rId25" Type="http://schemas.openxmlformats.org/officeDocument/2006/relationships/hyperlink" Target="http://www.nevo.co.il/case/3538797" TargetMode="External"/><Relationship Id="rId26" Type="http://schemas.openxmlformats.org/officeDocument/2006/relationships/hyperlink" Target="http://www.nevo.co.il/law/70301/14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2016-05-10T14:43:00Z</dcterms:created>
  <dc:creator> </dc:creator>
  <dc:description/>
  <cp:keywords/>
  <dc:language>en-IL</dc:language>
  <cp:lastModifiedBy>yafit</cp:lastModifiedBy>
  <dcterms:modified xsi:type="dcterms:W3CDTF">2016-05-10T14:43:00Z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אביחי צהיי</vt:lpwstr>
  </property>
  <property fmtid="{D5CDD505-2E9C-101B-9397-08002B2CF9AE}" pid="4" name="CASESLISTTMP1">
    <vt:lpwstr>3538798:2;3538797</vt:lpwstr>
  </property>
  <property fmtid="{D5CDD505-2E9C-101B-9397-08002B2CF9AE}" pid="5" name="CITY">
    <vt:lpwstr>מרכז</vt:lpwstr>
  </property>
  <property fmtid="{D5CDD505-2E9C-101B-9397-08002B2CF9AE}" pid="6" name="DATE">
    <vt:lpwstr>20110124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ק. רג'יניאנו</vt:lpwstr>
  </property>
  <property fmtid="{D5CDD505-2E9C-101B-9397-08002B2CF9AE}" pid="10" name="LAWLISTTMP1">
    <vt:lpwstr>70301/287.a;333;335.a.1:2;144.a;334;144</vt:lpwstr>
  </property>
  <property fmtid="{D5CDD505-2E9C-101B-9397-08002B2CF9AE}" pid="11" name="LAWLISTTMP2">
    <vt:lpwstr>4216/007.a;007.c</vt:lpwstr>
  </property>
  <property fmtid="{D5CDD505-2E9C-101B-9397-08002B2CF9AE}" pid="12" name="LAWYER">
    <vt:lpwstr>עודד קלר;אייל שמחוני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16748</vt:lpwstr>
  </property>
  <property fmtid="{D5CDD505-2E9C-101B-9397-08002B2CF9AE}" pid="26" name="NEWPARTB">
    <vt:lpwstr>08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08 16748 803 htm</vt:lpwstr>
  </property>
  <property fmtid="{D5CDD505-2E9C-101B-9397-08002B2CF9AE}" pid="37" name="TYPE">
    <vt:lpwstr>2</vt:lpwstr>
  </property>
  <property fmtid="{D5CDD505-2E9C-101B-9397-08002B2CF9AE}" pid="38" name="TYPE_ABS_DATE">
    <vt:lpwstr>390020110124</vt:lpwstr>
  </property>
  <property fmtid="{D5CDD505-2E9C-101B-9397-08002B2CF9AE}" pid="39" name="TYPE_N_DATE">
    <vt:lpwstr>39020110124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