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16753-02-22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לאילי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6"/>
          <w:szCs w:val="6"/>
        </w:rPr>
      </w:pPr>
      <w:r>
        <w:rPr>
          <w:rFonts w:cs="Times New Roman"/>
          <w:sz w:val="6"/>
          <w:szCs w:val="6"/>
          <w:rtl w:val="true"/>
        </w:rPr>
        <w:t xml:space="preserve"> </w:t>
      </w:r>
    </w:p>
    <w:tbl>
      <w:tblPr>
        <w:bidiVisual w:val="true"/>
        <w:tblW w:w="8529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551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7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560" w:hRule="atLeast"/>
          <w:cantSplit w:val="true"/>
        </w:trPr>
        <w:tc>
          <w:tcPr>
            <w:tcW w:w="260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52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60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לאילה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),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\</w:t>
      </w:r>
    </w:p>
    <w:p>
      <w:pPr>
        <w:pStyle w:val="12"/>
        <w:ind w:end="0"/>
        <w:jc w:val="start"/>
        <w:rPr>
          <w:rFonts w:ascii="David" w:hAnsi="David" w:cs="David"/>
          <w:sz w:val="6"/>
          <w:szCs w:val="6"/>
          <w:u w:val="none"/>
        </w:rPr>
      </w:pPr>
      <w:r>
        <w:rPr>
          <w:rFonts w:cs="David" w:ascii="David" w:hAnsi="David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/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רונית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סופר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חוסין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מנאע</w:t>
      </w:r>
    </w:p>
    <w:p>
      <w:pPr>
        <w:pStyle w:val="Normal"/>
        <w:ind w:end="0"/>
        <w:jc w:val="start"/>
        <w:rPr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sz w:val="26"/>
          <w:sz w:val="26"/>
          <w:szCs w:val="26"/>
          <w:rtl w:val="true"/>
        </w:rPr>
        <w:t>הנאשם הודה במסגרת הסדר שלא כלל הסדר אודות העונש בעבירות הבאות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החזקה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נשיאה והובלה של נשק לפי </w:t>
      </w:r>
      <w:hyperlink r:id="rId1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רישא </w:t>
      </w:r>
      <w:r>
        <w:rPr>
          <w:rFonts w:cs="Arial" w:ascii="Arial" w:hAnsi="Arial"/>
          <w:sz w:val="26"/>
          <w:szCs w:val="26"/>
          <w:rtl w:val="true"/>
        </w:rPr>
        <w:t xml:space="preserve">+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סיפא </w:t>
      </w:r>
      <w:r>
        <w:rPr>
          <w:rFonts w:cs="Arial" w:ascii="Arial" w:hAnsi="Arial"/>
          <w:sz w:val="26"/>
          <w:szCs w:val="26"/>
          <w:rtl w:val="true"/>
        </w:rPr>
        <w:t xml:space="preserve">+ </w:t>
      </w:r>
      <w:hyperlink r:id="rId16">
        <w:r>
          <w:rPr>
            <w:rStyle w:val="Hyperlink"/>
            <w:rFonts w:cs="Arial" w:ascii="Arial" w:hAnsi="Arial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רישא </w:t>
      </w:r>
      <w:r>
        <w:rPr>
          <w:rFonts w:cs="Arial" w:ascii="Arial" w:hAnsi="Arial"/>
          <w:sz w:val="26"/>
          <w:szCs w:val="26"/>
          <w:rtl w:val="true"/>
        </w:rPr>
        <w:t xml:space="preserve">+ </w:t>
      </w:r>
      <w:r>
        <w:rPr>
          <w:rFonts w:ascii="Arial" w:hAnsi="Arial" w:cs="Arial"/>
          <w:sz w:val="26"/>
          <w:sz w:val="26"/>
          <w:szCs w:val="26"/>
          <w:rtl w:val="true"/>
        </w:rPr>
        <w:t>סיפא ל</w:t>
      </w:r>
      <w:hyperlink r:id="rId1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הפרעה לשוטר במילוי תפקידו לפי סעיף </w:t>
      </w:r>
      <w:hyperlink r:id="rId18">
        <w:r>
          <w:rPr>
            <w:rStyle w:val="Hyperlink"/>
            <w:rFonts w:cs="Arial" w:ascii="Arial" w:hAnsi="Arial"/>
            <w:sz w:val="26"/>
            <w:szCs w:val="26"/>
          </w:rPr>
          <w:t>275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נהיגה בקלות ראש לפי </w:t>
      </w:r>
      <w:hyperlink r:id="rId19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62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פקודת התעבורה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[</w:t>
      </w:r>
      <w:r>
        <w:rPr>
          <w:rFonts w:ascii="Arial" w:hAnsi="Arial" w:cs="Arial"/>
          <w:sz w:val="26"/>
          <w:sz w:val="26"/>
          <w:szCs w:val="26"/>
          <w:rtl w:val="true"/>
        </w:rPr>
        <w:t>נוסח חדש</w:t>
      </w:r>
      <w:r>
        <w:rPr>
          <w:rFonts w:cs="Arial" w:ascii="Arial" w:hAnsi="Arial"/>
          <w:sz w:val="26"/>
          <w:szCs w:val="26"/>
          <w:rtl w:val="true"/>
        </w:rPr>
        <w:t xml:space="preserve">];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נהיגה ללא רישיון תקף לפי סעיף </w:t>
      </w:r>
      <w:hyperlink r:id="rId21">
        <w:r>
          <w:rPr>
            <w:rStyle w:val="Hyperlink"/>
            <w:rFonts w:cs="Arial" w:ascii="Arial" w:hAnsi="Arial"/>
            <w:sz w:val="26"/>
            <w:szCs w:val="26"/>
          </w:rPr>
          <w:t>10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+ </w:t>
      </w:r>
      <w:hyperlink r:id="rId22">
        <w:r>
          <w:rPr>
            <w:rStyle w:val="Hyperlink"/>
            <w:rFonts w:cs="Arial" w:ascii="Arial" w:hAnsi="Arial"/>
            <w:sz w:val="26"/>
            <w:szCs w:val="26"/>
          </w:rPr>
          <w:t>62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cs="Arial" w:ascii="Arial" w:hAnsi="Arial"/>
            <w:sz w:val="26"/>
            <w:szCs w:val="26"/>
          </w:rPr>
          <w:t>1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+ </w:t>
      </w:r>
      <w:hyperlink r:id="rId23">
        <w:r>
          <w:rPr>
            <w:rStyle w:val="Hyperlink"/>
            <w:rFonts w:cs="Arial" w:ascii="Arial" w:hAnsi="Arial"/>
            <w:sz w:val="26"/>
            <w:szCs w:val="26"/>
          </w:rPr>
          <w:t>38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cs="Arial" w:ascii="Arial" w:hAnsi="Arial"/>
            <w:sz w:val="26"/>
            <w:szCs w:val="26"/>
          </w:rPr>
          <w:t>1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לפקודת התעבורה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נהיגה ללא פוליסת ביטוח לפי </w:t>
      </w:r>
      <w:hyperlink r:id="rId2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+ (</w:t>
      </w:r>
      <w:hyperlink r:id="rId2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לפקודת רכב מנועי </w:t>
      </w:r>
      <w:r>
        <w:rPr>
          <w:rFonts w:cs="Arial" w:ascii="Arial" w:hAnsi="Arial"/>
          <w:sz w:val="26"/>
          <w:szCs w:val="26"/>
          <w:rtl w:val="true"/>
        </w:rPr>
        <w:t>[</w:t>
      </w:r>
      <w:r>
        <w:rPr>
          <w:rFonts w:ascii="Arial" w:hAnsi="Arial" w:cs="Arial"/>
          <w:sz w:val="26"/>
          <w:sz w:val="26"/>
          <w:szCs w:val="26"/>
          <w:rtl w:val="true"/>
        </w:rPr>
        <w:t>נוסח חדש</w:t>
      </w:r>
      <w:r>
        <w:rPr>
          <w:rFonts w:cs="Arial" w:ascii="Arial" w:hAnsi="Arial"/>
          <w:sz w:val="26"/>
          <w:szCs w:val="26"/>
          <w:rtl w:val="true"/>
        </w:rPr>
        <w:t xml:space="preserve">];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איומים לפי </w:t>
      </w:r>
      <w:hyperlink r:id="rId2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192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bookmarkStart w:id="10" w:name="ABSTRACT_END"/>
      <w:bookmarkEnd w:id="10"/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על פי האמור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בין התאריכים </w:t>
      </w:r>
      <w:r>
        <w:rPr>
          <w:rFonts w:cs="Arial" w:ascii="Arial" w:hAnsi="Arial"/>
          <w:sz w:val="26"/>
          <w:szCs w:val="26"/>
        </w:rPr>
        <w:t>21-22.1.22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החזיק הנאשם באקדח חצי אוטומטי מסוג </w:t>
      </w:r>
      <w:r>
        <w:rPr>
          <w:rFonts w:cs="Arial" w:ascii="Arial" w:hAnsi="Arial"/>
          <w:sz w:val="22"/>
          <w:szCs w:val="22"/>
        </w:rPr>
        <w:t>CZ</w:t>
      </w:r>
      <w:r>
        <w:rPr>
          <w:rFonts w:cs="Arial" w:ascii="Arial" w:hAnsi="Arial"/>
          <w:sz w:val="26"/>
          <w:szCs w:val="26"/>
        </w:rPr>
        <w:t xml:space="preserve"> 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 פרבלום טעון במחסנית בתוכה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בתאריך </w:t>
      </w:r>
      <w:r>
        <w:rPr>
          <w:rFonts w:cs="Arial" w:ascii="Arial" w:hAnsi="Arial"/>
          <w:sz w:val="26"/>
          <w:szCs w:val="26"/>
        </w:rPr>
        <w:t>21.1.22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בשעה </w:t>
      </w:r>
      <w:r>
        <w:rPr>
          <w:rFonts w:cs="Arial" w:ascii="Arial" w:hAnsi="Arial"/>
          <w:sz w:val="26"/>
          <w:szCs w:val="26"/>
        </w:rPr>
        <w:t>0:45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נסע הנאשם בכביש המחבר בין כפר מג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ד אלכרום לבענה ברכב שהיה בבעלות אדם אחר כשהוא מחזיק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מוביל ונושא  את האקדח בניגוד לדין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באותו מועד הוצב מחסום משטרתי בכביש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שוטרים שנסעו ברכב משטרתי סמוי הבחינו בנאשם נוסע באמצע הכביש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הבהבו לו עם אורות הניידת על מנת שיעצור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והוא במקום לעצור ברח מהם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בהמשך הנאשם ירד מהרכב לאחר מרדף עת הגיע סמוך לבניין מגוריו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השליך את הנשק לגג של בניין סמוך והוא נעצר במקום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24.1.22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במהלך עימות בין הנאשם לשוטרים בתחנת המשטרה איים על אחד השוטרים שנכחו בעימות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המדינה לעניין 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המדינה טענה שהחזקה ונשיאת נשק  בלתי חוקי הפכה למכת מדינה של ממש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תופעה שיש להילחם בה ואשר מצדיקה החמרת הענישה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9702/16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סאמי אבו אלולאיא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13.9.17</w:t>
      </w:r>
      <w:r>
        <w:rPr>
          <w:rFonts w:cs="Arial" w:ascii="Arial" w:hAnsi="Arial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שנפגעו הערכים המוגנים של שלטון החוק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שמירה על שלום הציבור וביטחונו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כמו כן בהתאם למדיניות שבפסיקת בית המשפט העליון נקבע שענישה בעבירות נשק צריכה לכלול בדרך כלל רכיב של מאסר בפועל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9702/16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ביחס לנסיבות הקשורות בביצוע העבירה נטען שחלקו היחסי של הנאשם היה מלא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היה צפוי להיגרם נזק משמעותי כתוצאה מביצוע העבירה שהנאשם יכול היה להבין את הפסול במעשיו ולהימנע מהמעשה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באשר למדיניות הענישה אוזכרו פסקי הדין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2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5602/22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8.9.22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שם הורשע המערער על פי הודאתו במסגרת הסדר טיעון בעבירות של  נשיאת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הפרעה לשוטר במילוי תפקידו ושהייה בישראל שלא כדין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הערכאה הדיונית הטילה עליו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בערעור הוחמר העונש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כאשר צוין שמתחם הענישה צריך להיות בין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42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3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6021/21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עלי עבוד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19.12.21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המערער הורשע על פי הודאתו במסגרת הסדר טיעון בעבירות של נשיאה והובלת נשק ובהפרעה לשוטר במילוי תפקידו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הערכאה הדיונית השיתה על העורר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הערעור  נדחה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3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2482/22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קדורה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14.4.22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נאשם שהורשע בעבירה של החזקת נשק בלבד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אקדח גלוק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מחסנית וכדורים לאקדח ורימון הלך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בן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בעת 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נידון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והערעור הוחמרה הענישה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באשר לנסיבות שאינן קשורות בביצוע העבירה צוין שהנאשם בן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נעדר עבר פלילי והוא חסך זמן שיפוטי על הודאתו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לעומת זאת צוין שאינו קטין ואינו סובל ממגבלות שכלית או אחרת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ואינו קרוב לשום סייג לאחריות פלילית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ביחס לתסקיר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צוין שהוא נוטל לאחריות פורמלית בלבד על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כמו כן הוזכר תיקון </w:t>
      </w:r>
      <w:r>
        <w:rPr>
          <w:rFonts w:cs="Arial" w:ascii="Arial" w:hAnsi="Arial"/>
          <w:sz w:val="26"/>
          <w:szCs w:val="26"/>
        </w:rPr>
        <w:t>140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ביחס לעונש מזערי של רבע מהעונש המרבי הקבוע בחוק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המדינה ביקשה לקבוע מתחם שבין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לצד ענישה נלווית ולהטיל עונש ברף התחתון של התחתון המבוקש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טענות 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ההגנה טענה שהנאשם הודה בהזדמנות הראשונה בכתב אישום מתוקן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שעל אף שמדובר במספר עבירות מדובר במקרה אחד שהתמשך ויש לראות את המעשים כמתגבש לאירוע אחד ולקבוע מתחם ענישה אחד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נטען שמדובר בנאשם בן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ללא עבר פלילי שזוהי הסתבכותו הראשונה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ושעל אף חומרתה אינה מאפיינת דרך 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שעולה מהתסקיר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שהנאשם שיתף פעולה עם החוקרים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והסביר שברח מתוך פחד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למרחק קצר בלבד עד שהגיע לביתו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טען שבתסקיר הנאשם לא הצליח להסביר את עצמו כפי שצריך ונטען שיתכן וחלה אי הבנה באשר להעדר לקיחת אחריות מצדו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שנסיבות חיי משפחתו קשות כפי שתוארו בתסקיר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ושהמשפחה תלויה בפרנסה שמביא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שהנאשם ניצל את מאסרו כדי לשנות את דרך חייו ונטען שהדברים עולים מתוך התסקיר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נטען שבסופו של דבר מדובר בתסקיר חיובי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לעניין הפסיקה הפנה הסנגור למקרים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50986-12-16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מועאד אבו עליון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9.11.17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שם נאשם שהואשם בקשירת קשר לפשע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הובלה ונשאית נשק וירי עם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הרשעות קודמות ולמרות שקיבל אחריות חלקית בלבד על 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נידון 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3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24044-06-22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מוחמד אג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באריה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16.12.22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בגין עבירות נשק של נשיאה ו הובלה של אקדח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מחסנית ותחמושת נקבע מתחם ענישה שבין </w:t>
      </w:r>
      <w:r>
        <w:rPr>
          <w:rFonts w:cs="Arial" w:ascii="Arial" w:hAnsi="Arial"/>
          <w:sz w:val="26"/>
          <w:szCs w:val="26"/>
        </w:rPr>
        <w:t>24-48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והוטלו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3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38718-12-21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פהמי 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בארין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נאשם שהורשע בנשיאה והובלת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שבין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והוטלו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hyperlink r:id="rId3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41830-12-21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מהדי כנאנה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14.7.22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נאשם שהורשע בנשיאה והובלת נשק כאשר נשא אקדח על גופו וברח משוטרים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נקע מתחם שבין </w:t>
      </w:r>
      <w:r>
        <w:rPr>
          <w:rFonts w:cs="Arial" w:ascii="Arial" w:hAnsi="Arial"/>
          <w:sz w:val="26"/>
          <w:szCs w:val="26"/>
        </w:rPr>
        <w:t>18-36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והוטלו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16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נטען שלעניין נסיבות ביצוע העבירה יש להביא בחשבון לקולא הודאתו המידית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חיסכון בזמן שיפוטי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קבלת האחריות והבעת חרטה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נסיבות משפחתיות וגילו הצעיר והעדר עבר פלילי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17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צוין שהנאשם נתון במעצר מאז </w:t>
      </w:r>
      <w:r>
        <w:rPr>
          <w:rFonts w:cs="Arial" w:ascii="Arial" w:hAnsi="Arial"/>
          <w:sz w:val="26"/>
          <w:szCs w:val="26"/>
        </w:rPr>
        <w:t>22.1.22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וכי הוא מנצל את המעצר ללמוד ולהשתקם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הנאשם הביע חרטה על מעשיו וטען שאינו מתאים לבית הסוהר ושהוא חושב כיצד לחזור לביתו ולעזור למשפחתו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19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צוין שמדובר בנאשם בן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רווק שטרם מעצרו התגורר בבית הוריו ועבד כטייח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הוריו גרושים מזה שנתיים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הוא הקטן מבין שלושת אחיו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סבל בילדותו מאלימות מאביו שהיה מכור לסמים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מזה כ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הוא ואחותו עובדים כדי לממן לימודי רפואה לאח הבכור שלומד בחו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עצמו סיים </w:t>
      </w:r>
      <w:r>
        <w:rPr>
          <w:rFonts w:cs="Arial" w:ascii="Arial" w:hAnsi="Arial"/>
          <w:sz w:val="26"/>
          <w:szCs w:val="26"/>
        </w:rPr>
        <w:t>11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לימוד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ביחס לעבירות צוין שהוא קיבל אחריות ברמה מילולית פורמלית בלבד כאשר טען שפעל מחוסר שיקול דעת ומבלי ששקל את השלכות המעשים וחומרתם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מגורמי הטיפול מבית הסוהר התקבל דיווח שהוא שולב בתוכניות שיקום ומשתתף מאז ספטמבר </w:t>
      </w:r>
      <w:r>
        <w:rPr>
          <w:rFonts w:cs="Arial" w:ascii="Arial" w:hAnsi="Arial"/>
          <w:sz w:val="26"/>
          <w:szCs w:val="26"/>
        </w:rPr>
        <w:t>2022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ועד 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תואר כבעל מוטיבציה גבוהה לטיפול ושינוי וגם משלים בגרויות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באשר לסיכון להישנות ביצוע עבירות בעתיד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הוערך כי קיים סיכון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שהתערבות טיפולית במסגרת בעלת גבולות ברורים עשויה לחזק את הגבולות הפנימיים ולהפחית את הסיכון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בסופו של דבר לא הובאה  המלצה לחלופה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והומלץ על המשך טיפול במסגרת בית הסוהר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עצור מיום </w:t>
      </w:r>
      <w:r>
        <w:rPr>
          <w:rFonts w:cs="Arial" w:ascii="Arial" w:hAnsi="Arial"/>
          <w:sz w:val="26"/>
          <w:szCs w:val="26"/>
        </w:rPr>
        <w:t>22.1.22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הערכים החברתיים המוגנים שנפגעו הנם שמירה על ביטחון הציבור ושלומו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היות שעסקינן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מדובר בפגיעה חמורה יחסית בערכים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נראה שמדובר באירוע בלתי מתוכנן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אין בו כדי להפחית מחומרת נשיאה והחזקת נשק בלתי חוקי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נושא באופן בלעדי באחריות בגין העבירות והיה יכול להימנע מהן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מתוך הנסיבות ועל בסיס מדיניות הענישה הנוהגת יש מקום לקבוע מתחם ענישה שבין </w:t>
      </w: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בהתחשב בנתוניו האישיים ותהליכי השיקום אותם עובר הנאשם והודאתו המוקדמת יש מקום לפסוק ענישה ברף התחתון של המתחם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>אשר 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מטיל עונשים 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שמתקופה זו תנוכה תקופת מעצרו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התנאי יופעל במידה והנאשם יבצע עבירות נשק או אלימות מסוג פשע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לתשלום עד ליום </w:t>
      </w:r>
      <w:r>
        <w:rPr>
          <w:rFonts w:cs="Arial" w:ascii="Arial" w:hAnsi="Arial"/>
          <w:sz w:val="26"/>
          <w:szCs w:val="26"/>
        </w:rPr>
        <w:t>1.7.23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  <w:u w:val="single"/>
        </w:rPr>
        <w:t>45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אדר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end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16753-02-22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אשרף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לאילה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.a" TargetMode="External"/><Relationship Id="rId9" Type="http://schemas.openxmlformats.org/officeDocument/2006/relationships/hyperlink" Target="http://www.nevo.co.il/law/5227/38.1" TargetMode="External"/><Relationship Id="rId10" Type="http://schemas.openxmlformats.org/officeDocument/2006/relationships/hyperlink" Target="http://www.nevo.co.il/law/5227/62.1" TargetMode="External"/><Relationship Id="rId11" Type="http://schemas.openxmlformats.org/officeDocument/2006/relationships/hyperlink" Target="http://www.nevo.co.il/law/5227/62.2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.a" TargetMode="External"/><Relationship Id="rId14" Type="http://schemas.openxmlformats.org/officeDocument/2006/relationships/hyperlink" Target="http://www.nevo.co.il/law/74501/2.b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5227/62.2" TargetMode="External"/><Relationship Id="rId20" Type="http://schemas.openxmlformats.org/officeDocument/2006/relationships/hyperlink" Target="http://www.nevo.co.il/law/5227" TargetMode="External"/><Relationship Id="rId21" Type="http://schemas.openxmlformats.org/officeDocument/2006/relationships/hyperlink" Target="http://www.nevo.co.il/law/5227/10.a" TargetMode="External"/><Relationship Id="rId22" Type="http://schemas.openxmlformats.org/officeDocument/2006/relationships/hyperlink" Target="http://www.nevo.co.il/law/5227/62.1" TargetMode="External"/><Relationship Id="rId23" Type="http://schemas.openxmlformats.org/officeDocument/2006/relationships/hyperlink" Target="http://www.nevo.co.il/law/5227/38.1" TargetMode="External"/><Relationship Id="rId24" Type="http://schemas.openxmlformats.org/officeDocument/2006/relationships/hyperlink" Target="http://www.nevo.co.il/law/74501/2.a" TargetMode="External"/><Relationship Id="rId25" Type="http://schemas.openxmlformats.org/officeDocument/2006/relationships/hyperlink" Target="http://www.nevo.co.il/law/74501/2.b" TargetMode="External"/><Relationship Id="rId26" Type="http://schemas.openxmlformats.org/officeDocument/2006/relationships/hyperlink" Target="http://www.nevo.co.il/law/70301/192" TargetMode="External"/><Relationship Id="rId27" Type="http://schemas.openxmlformats.org/officeDocument/2006/relationships/hyperlink" Target="http://www.nevo.co.il/case/21771409" TargetMode="External"/><Relationship Id="rId28" Type="http://schemas.openxmlformats.org/officeDocument/2006/relationships/hyperlink" Target="http://www.nevo.co.il/case/21771409" TargetMode="External"/><Relationship Id="rId29" Type="http://schemas.openxmlformats.org/officeDocument/2006/relationships/hyperlink" Target="http://www.nevo.co.il/case/28883087" TargetMode="External"/><Relationship Id="rId30" Type="http://schemas.openxmlformats.org/officeDocument/2006/relationships/hyperlink" Target="http://www.nevo.co.il/case/27911655" TargetMode="External"/><Relationship Id="rId31" Type="http://schemas.openxmlformats.org/officeDocument/2006/relationships/hyperlink" Target="http://www.nevo.co.il/case/28513828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8682335" TargetMode="External"/><Relationship Id="rId34" Type="http://schemas.openxmlformats.org/officeDocument/2006/relationships/hyperlink" Target="http://www.nevo.co.il/case/28181803" TargetMode="External"/><Relationship Id="rId35" Type="http://schemas.openxmlformats.org/officeDocument/2006/relationships/hyperlink" Target="http://www.nevo.co.il/case/28185086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2024-05-05T08:33:00Z</dcterms:created>
  <dc:creator> </dc:creator>
  <dc:description/>
  <cp:keywords/>
  <dc:language>en-IL</dc:language>
  <cp:lastModifiedBy>h1</cp:lastModifiedBy>
  <dcterms:modified xsi:type="dcterms:W3CDTF">2024-05-05T08:33:00Z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אשרף ח'לאילה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21771409:2;28883087;27911655;28513828;28682335;28181803;28185086</vt:lpwstr>
  </property>
  <property fmtid="{D5CDD505-2E9C-101B-9397-08002B2CF9AE}" pid="9" name="CITY">
    <vt:lpwstr>חי'</vt:lpwstr>
  </property>
  <property fmtid="{D5CDD505-2E9C-101B-9397-08002B2CF9AE}" pid="10" name="DATE">
    <vt:lpwstr>20230320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70301/144.a;144.b;275;192</vt:lpwstr>
  </property>
  <property fmtid="{D5CDD505-2E9C-101B-9397-08002B2CF9AE}" pid="15" name="LAWLISTTMP2">
    <vt:lpwstr>5227/062.2;010.a;062.1;038.1</vt:lpwstr>
  </property>
  <property fmtid="{D5CDD505-2E9C-101B-9397-08002B2CF9AE}" pid="16" name="LAWLISTTMP3">
    <vt:lpwstr>74501/002.a;002.b</vt:lpwstr>
  </property>
  <property fmtid="{D5CDD505-2E9C-101B-9397-08002B2CF9AE}" pid="17" name="LAWYER">
    <vt:lpwstr>רונית סופר;חוסין מנאע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16753</vt:lpwstr>
  </property>
  <property fmtid="{D5CDD505-2E9C-101B-9397-08002B2CF9AE}" pid="24" name="NEWPARTB">
    <vt:lpwstr>02</vt:lpwstr>
  </property>
  <property fmtid="{D5CDD505-2E9C-101B-9397-08002B2CF9AE}" pid="25" name="NEWPARTC">
    <vt:lpwstr>22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390020230320</vt:lpwstr>
  </property>
  <property fmtid="{D5CDD505-2E9C-101B-9397-08002B2CF9AE}" pid="36" name="TYPE_N_DATE">
    <vt:lpwstr>39020230320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