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188"/>
        <w:gridCol w:w="4424"/>
        <w:gridCol w:w="10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בטבריה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 בשבתו בנצרת</w:t>
            </w:r>
          </w:p>
        </w:tc>
      </w:tr>
      <w:tr>
        <w:trPr>
          <w:trHeight w:val="360" w:hRule="atLeast"/>
        </w:trPr>
        <w:tc>
          <w:tcPr>
            <w:tcW w:w="418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שופט דורון פורת</w:t>
            </w:r>
          </w:p>
        </w:tc>
        <w:tc>
          <w:tcPr>
            <w:tcW w:w="4424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tl w:val="true"/>
              </w:rPr>
              <w:t xml:space="preserve"> </w:t>
            </w:r>
            <w:r>
              <w:rPr/>
              <w:t>16772-03-10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 ישראל 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ינגולוב</w:t>
            </w:r>
          </w:p>
        </w:tc>
        <w:tc>
          <w:tcPr>
            <w:tcW w:w="10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tl w:val="true"/>
              </w:rPr>
            </w:r>
          </w:p>
        </w:tc>
      </w:tr>
      <w:tr>
        <w:trPr>
          <w:trHeight w:val="360" w:hRule="atLeast"/>
        </w:trPr>
        <w:tc>
          <w:tcPr>
            <w:tcW w:w="4188" w:type="dxa"/>
            <w:tcBorders/>
          </w:tcPr>
          <w:p>
            <w:pPr>
              <w:pStyle w:val="Normal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424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אפריל </w:t>
            </w:r>
            <w:r>
              <w:rPr>
                <w:b/>
                <w:bCs/>
              </w:rPr>
              <w:t>2012</w:t>
            </w:r>
          </w:p>
        </w:tc>
        <w:tc>
          <w:tcPr>
            <w:tcW w:w="10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71"/>
        <w:gridCol w:w="3676"/>
      </w:tblGrid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80"/>
        <w:gridCol w:w="4122"/>
      </w:tblGrid>
      <w:tr>
        <w:trPr/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start="26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12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</w:t>
            </w:r>
            <w:r>
              <w:rPr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אילי ינגולוב</w:t>
            </w:r>
          </w:p>
          <w:p>
            <w:pPr>
              <w:pStyle w:val="Normal"/>
              <w:ind w:start="26"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  <w:tc>
          <w:tcPr>
            <w:tcW w:w="4122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המאשימה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בן חמו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בעצמו ו</w:t>
      </w: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b w:val="false"/>
          <w:b w:val="false"/>
          <w:bCs w:val="false"/>
          <w:u w:val="none"/>
          <w:rtl w:val="true"/>
        </w:rPr>
        <w:t>דוד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קליימן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  <w:sz w:val="28"/>
        </w:rPr>
      </w:pPr>
      <w:r>
        <w:rPr>
          <w:rFonts w:cs="FrankRuehl" w:ascii="FrankRuehl" w:hAnsi="FrankRuehl"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cs="Arial" w:ascii="Arial" w:hAnsi="Arial"/>
          <w:b/>
          <w:color w:val="FF0000"/>
          <w:sz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הנאשם הורשע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אשר יוחסו לו בכתב אישום זה ובתיקים המצורפים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עבירה של </w:t>
      </w:r>
      <w:r>
        <w:rPr>
          <w:b/>
          <w:b/>
          <w:bCs/>
          <w:rtl w:val="true"/>
        </w:rPr>
        <w:t xml:space="preserve">החזקת סם מסוכן לצריכה עצמית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b/>
          <w:bCs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11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פקודת הסמים 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פקודת הסמים</w:t>
      </w:r>
      <w:r>
        <w:rPr>
          <w:rtl w:val="true"/>
        </w:rPr>
        <w:t xml:space="preserve">"); </w:t>
      </w:r>
      <w:r>
        <w:rPr>
          <w:b/>
          <w:b/>
          <w:bCs/>
          <w:rtl w:val="true"/>
        </w:rPr>
        <w:t>החזקת כלים לשימוש בסם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עבירה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לפקודת הסמים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החזקת נשק שלא כדין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עובדות המקרה פורטו בהרחבה בכתב האישום המכיל שלושה אישומים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באישום הראשון</w:t>
      </w:r>
      <w:r>
        <w:rPr>
          <w:rtl w:val="true"/>
        </w:rPr>
        <w:t xml:space="preserve">, </w:t>
      </w:r>
      <w:r>
        <w:rPr>
          <w:rtl w:val="true"/>
        </w:rPr>
        <w:t>הורשע הנאשם בכך שבשתי הזדמנויות שונות</w:t>
      </w:r>
      <w:r>
        <w:rPr>
          <w:rtl w:val="true"/>
        </w:rPr>
        <w:t xml:space="preserve">, </w:t>
      </w:r>
      <w:r>
        <w:rPr>
          <w:rtl w:val="true"/>
        </w:rPr>
        <w:t>החזיק בביתו בסם מסוכן מסוג חשיש בכמות לא ידועה</w:t>
      </w:r>
      <w:r>
        <w:rPr>
          <w:rtl w:val="true"/>
        </w:rPr>
        <w:t xml:space="preserve">, </w:t>
      </w:r>
      <w:r>
        <w:rPr>
          <w:rtl w:val="true"/>
        </w:rPr>
        <w:t>לשימוש עצמי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 השני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הורשע הנאשם כי ביום </w:t>
      </w:r>
      <w:r>
        <w:rPr/>
        <w:t>4.2.2009</w:t>
      </w:r>
      <w:r>
        <w:rPr>
          <w:rtl w:val="true"/>
        </w:rPr>
        <w:t xml:space="preserve">, </w:t>
      </w:r>
      <w:r>
        <w:rPr>
          <w:rtl w:val="true"/>
        </w:rPr>
        <w:t>החזיק בביתו בסם מסוכן מסוג חשיש</w:t>
      </w:r>
      <w:r>
        <w:rPr>
          <w:rtl w:val="true"/>
        </w:rPr>
        <w:t xml:space="preserve">, </w:t>
      </w:r>
      <w:r>
        <w:rPr>
          <w:rtl w:val="true"/>
        </w:rPr>
        <w:t xml:space="preserve">במשקל של </w:t>
      </w:r>
      <w:r>
        <w:rPr/>
        <w:t>21.69</w:t>
      </w:r>
      <w:r>
        <w:rPr>
          <w:rtl w:val="true"/>
        </w:rPr>
        <w:t xml:space="preserve"> </w:t>
      </w:r>
      <w:r>
        <w:rPr>
          <w:rtl w:val="true"/>
        </w:rPr>
        <w:t>גרם וכן החזיק כלי מאולתר לעישון סמים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 השלישי</w:t>
      </w:r>
      <w:r>
        <w:rPr>
          <w:rtl w:val="true"/>
        </w:rPr>
        <w:t xml:space="preserve">, </w:t>
      </w:r>
      <w:r>
        <w:rPr>
          <w:rtl w:val="true"/>
        </w:rPr>
        <w:t xml:space="preserve">הורשע הנאשם כי החזיק בביתו רובה אוויר בקליבר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וכן ב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במסגרת הסדר 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צירף הנאשם את התיקים הבאים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 xml:space="preserve">תיק </w:t>
      </w:r>
      <w:hyperlink r:id="rId16">
        <w:r>
          <w:rPr>
            <w:rStyle w:val="Hyperlink"/>
            <w:b/>
            <w:bCs/>
            <w:color w:val="0000FF"/>
            <w:u w:val="single"/>
          </w:rPr>
          <w:t>18840-11-10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בו הורשע הנאשם בעבירה של </w:t>
      </w:r>
      <w:r>
        <w:rPr>
          <w:b/>
          <w:b/>
          <w:bCs/>
          <w:rtl w:val="true"/>
        </w:rPr>
        <w:t>סחר בסם מסוכן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וסעיף </w:t>
        </w:r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לפקודת הסמים</w:t>
      </w:r>
      <w:r>
        <w:rPr>
          <w:rtl w:val="true"/>
        </w:rPr>
        <w:t xml:space="preserve">. </w:t>
      </w:r>
      <w:r>
        <w:rPr>
          <w:rtl w:val="true"/>
        </w:rPr>
        <w:t>בשתי הזדמנויות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סחר הנאשם </w:t>
      </w:r>
      <w:r>
        <w:rPr>
          <w:rtl w:val="true"/>
        </w:rPr>
        <w:tab/>
      </w:r>
      <w:r>
        <w:rPr>
          <w:rtl w:val="true"/>
        </w:rPr>
        <w:t>בסם מסוכן מסוג חשיש בכך שסיפק לאחרים חשיש בתמורה ל</w:t>
      </w:r>
      <w:r>
        <w:rPr>
          <w:rtl w:val="true"/>
        </w:rPr>
        <w:t xml:space="preserve">-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 xml:space="preserve">בתיק </w:t>
      </w:r>
      <w:hyperlink r:id="rId19">
        <w:r>
          <w:rPr>
            <w:rStyle w:val="Hyperlink"/>
            <w:b/>
            <w:bCs/>
            <w:color w:val="0000FF"/>
            <w:u w:val="single"/>
          </w:rPr>
          <w:t>43243-01-11</w:t>
        </w:r>
      </w:hyperlink>
      <w:r>
        <w:rPr>
          <w:rtl w:val="true"/>
        </w:rPr>
        <w:t xml:space="preserve">, </w:t>
      </w:r>
      <w:r>
        <w:rPr>
          <w:rtl w:val="true"/>
        </w:rPr>
        <w:t>הורשע הנאשם בעבירה של החזקת סמים לצריכה עצמית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21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לפקודת הסמים</w:t>
      </w:r>
      <w:r>
        <w:rPr>
          <w:rtl w:val="true"/>
        </w:rPr>
        <w:t xml:space="preserve">. </w:t>
      </w:r>
      <w:r>
        <w:rPr>
          <w:rtl w:val="true"/>
        </w:rPr>
        <w:t>הנאשם החזיק במתחם מגוריו</w:t>
      </w:r>
      <w:r>
        <w:rPr>
          <w:rtl w:val="true"/>
        </w:rPr>
        <w:t xml:space="preserve">, </w:t>
      </w:r>
      <w:r>
        <w:rPr>
          <w:rtl w:val="true"/>
        </w:rPr>
        <w:t xml:space="preserve">בסם מסוכן מסוג חשיש במשקל של </w:t>
      </w:r>
      <w:r>
        <w:rPr/>
        <w:t>1.48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 xml:space="preserve">בתיק </w:t>
      </w:r>
      <w:r>
        <w:rPr>
          <w:b/>
          <w:bCs/>
        </w:rPr>
        <w:t>22335-04-11</w:t>
      </w:r>
      <w:r>
        <w:rPr>
          <w:rtl w:val="true"/>
        </w:rPr>
        <w:t xml:space="preserve"> , </w:t>
      </w:r>
      <w:r>
        <w:rPr>
          <w:rtl w:val="true"/>
        </w:rPr>
        <w:t>הורשע הנאשם בעבירה של החזקת סמים לצריכה עצמית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2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לפקודת הסמים</w:t>
      </w:r>
      <w:r>
        <w:rPr>
          <w:rtl w:val="true"/>
        </w:rPr>
        <w:t xml:space="preserve">. </w:t>
      </w:r>
      <w:r>
        <w:rPr>
          <w:rtl w:val="true"/>
        </w:rPr>
        <w:t>הנאשם החזיק בביתו</w:t>
      </w:r>
      <w:r>
        <w:rPr>
          <w:rtl w:val="true"/>
        </w:rPr>
        <w:t xml:space="preserve">, </w:t>
      </w:r>
      <w:r>
        <w:rPr>
          <w:rtl w:val="true"/>
        </w:rPr>
        <w:t xml:space="preserve">בסם מסוכן מסוג חשיש במשקל של </w:t>
      </w:r>
      <w:r>
        <w:rPr/>
        <w:t>1.64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טיעון לפיו בית המשפט התבקש להטיל את העונשים הבאים</w:t>
      </w:r>
      <w:r>
        <w:rPr>
          <w:rtl w:val="true"/>
        </w:rPr>
        <w:t xml:space="preserve">: </w:t>
      </w:r>
    </w:p>
    <w:p>
      <w:pPr>
        <w:pStyle w:val="Normal"/>
        <w:spacing w:before="280" w:after="280"/>
        <w:ind w:end="108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מאסר בפועל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before="280" w:after="280"/>
        <w:ind w:hanging="720" w:start="720" w:end="108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הפעלת מאסרים על תנאי</w:t>
      </w:r>
      <w:r>
        <w:rPr>
          <w:rtl w:val="true"/>
        </w:rPr>
        <w:t xml:space="preserve">, </w:t>
      </w:r>
      <w:r>
        <w:rPr>
          <w:rtl w:val="true"/>
        </w:rPr>
        <w:t xml:space="preserve">חלקם בחופף וחלקם במצטבר כך שהנאשם ירצה בפועל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ללא ניכוי ימי מעצר</w:t>
      </w:r>
      <w:r>
        <w:rPr>
          <w:rtl w:val="true"/>
        </w:rPr>
        <w:t>.</w:t>
      </w:r>
    </w:p>
    <w:p>
      <w:pPr>
        <w:pStyle w:val="Normal"/>
        <w:spacing w:before="280" w:after="280"/>
        <w:ind w:end="108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  <w:tab/>
      </w:r>
      <w:r>
        <w:rPr>
          <w:rtl w:val="true"/>
        </w:rPr>
        <w:t>מאסר על תנאי</w:t>
      </w:r>
      <w:r>
        <w:rPr>
          <w:rtl w:val="true"/>
        </w:rPr>
        <w:t xml:space="preserve">. </w:t>
      </w:r>
    </w:p>
    <w:p>
      <w:pPr>
        <w:pStyle w:val="Normal"/>
        <w:spacing w:before="280" w:after="280"/>
        <w:ind w:end="108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פסילה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טיעונים לעונש מטעם הצדדים</w:t>
      </w:r>
      <w:r>
        <w:rPr>
          <w:b/>
          <w:bCs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טיעונים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לעונש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מטעם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התביעה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התביעה הדגישה את חומרת העבירות שבהן הורשע הנאשם וציינה כי לחובתו עבר 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התביעה עתרה לכבד את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ולהטיל על הנאשם עונש מאסר בפועל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הפעלת מאסר על תנאי בחופף ובמצטבר</w:t>
      </w:r>
      <w:r>
        <w:rPr>
          <w:rtl w:val="true"/>
        </w:rPr>
        <w:t xml:space="preserve">, </w:t>
      </w:r>
      <w:r>
        <w:rPr>
          <w:rtl w:val="true"/>
        </w:rPr>
        <w:t xml:space="preserve">בכך שהנאשם ירצה עונש מאסר בפועל בן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 על תנאי ופסילת רישיון 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 לעונש מטעם ההגנה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הסנגור ביקש להתחשב בכך</w:t>
      </w:r>
      <w:r>
        <w:rPr>
          <w:rtl w:val="true"/>
        </w:rPr>
        <w:t xml:space="preserve">, </w:t>
      </w:r>
      <w:r>
        <w:rPr>
          <w:rtl w:val="true"/>
        </w:rPr>
        <w:t>ששני התיקים העיקריים</w:t>
      </w:r>
      <w:r>
        <w:rPr>
          <w:rtl w:val="true"/>
        </w:rPr>
        <w:t xml:space="preserve">, </w:t>
      </w:r>
      <w:r>
        <w:rPr>
          <w:rtl w:val="true"/>
        </w:rPr>
        <w:t>נפתחו יחד עם תיק אחר בו הנאשם הורשע ונדון לעשרה חודשים בפועל בגין עבירות אלימות במשפחה</w:t>
      </w:r>
      <w:r>
        <w:rPr>
          <w:rtl w:val="true"/>
        </w:rPr>
        <w:t xml:space="preserve">. </w:t>
      </w:r>
      <w:r>
        <w:rPr>
          <w:rtl w:val="true"/>
        </w:rPr>
        <w:t>לטענת הסנגור הפרדת כתבי האישום</w:t>
      </w:r>
      <w:r>
        <w:rPr>
          <w:rtl w:val="true"/>
        </w:rPr>
        <w:t xml:space="preserve">, </w:t>
      </w:r>
      <w:r>
        <w:rPr>
          <w:rtl w:val="true"/>
        </w:rPr>
        <w:t>יש בה כדי להחמיר עם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הסנגור ביקש להתחשב בכך שהנאשם החזיק שלא כדין ברובה אויר והפנה לדין הרוסי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הסנגור ביקש להתחשב בהודאת הנאשם ובחלוף הזמן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>הסנגור עתר לדחיית ריצוי עונש המאסר בארבעה חודשים</w:t>
      </w:r>
      <w:r>
        <w:rPr>
          <w:rtl w:val="true"/>
        </w:rPr>
        <w:t xml:space="preserve">, </w:t>
      </w:r>
      <w:r>
        <w:rPr>
          <w:rtl w:val="true"/>
        </w:rPr>
        <w:t>על מנת לאפשר לנאשם לעבור ניתוח  רפואי בראשו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b/>
          <w:b/>
          <w:bCs/>
          <w:u w:val="single"/>
          <w:rtl w:val="true"/>
        </w:rPr>
        <w:t>דברי הנאשם</w:t>
      </w:r>
      <w:r>
        <w:rPr>
          <w:rtl w:val="true"/>
        </w:rPr>
        <w:t>:</w:t>
      </w:r>
    </w:p>
    <w:p>
      <w:pPr>
        <w:pStyle w:val="Normal"/>
        <w:spacing w:lineRule="auto" w:line="360" w:before="280" w:after="280"/>
        <w:ind w:end="0"/>
        <w:jc w:val="both"/>
        <w:rPr/>
      </w:pPr>
      <w:r>
        <w:rPr>
          <w:rtl w:val="true"/>
        </w:rPr>
        <w:t xml:space="preserve"> </w:t>
      </w:r>
      <w:r>
        <w:rPr>
          <w:rtl w:val="true"/>
        </w:rPr>
        <w:t>הנאשם הביע חרטה על מעשיו וביקש להתחשב בנסיבותיו 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BodyText"/>
        <w:ind w:end="0"/>
        <w:jc w:val="both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הנאשם הורשע במסגרת הסדר טיעון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בעבירות של החזקת סמים לשימוש עצמי בהזדמנויות שונות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סחר בסם והספקת סם מסוג חשיש בשתי הזדמנויות שונות וכן בעבירת החזקת נשק שלא כדין</w:t>
      </w:r>
      <w:r>
        <w:rPr>
          <w:szCs w:val="24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מרתיעה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הפכתי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והפכתי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בטעוניו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הרוסי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ascii="Times New Roman-Normal-1255;Times New Roman" w:hAnsi="Times New Roman-Normal-1255;Times New Roman"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העושה</w:t>
      </w:r>
      <w:r>
        <w:rPr>
          <w:rFonts w:cs="David"/>
          <w:rtl w:val="true"/>
        </w:rPr>
        <w:t>.</w:t>
      </w:r>
      <w:r>
        <w:rPr>
          <w:rFonts w:cs="David" w:ascii="Times New Roman-Normal-1255;Times New Roman" w:hAnsi="Times New Roman-Normal-1255;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/>
        </w:rPr>
      </w:pPr>
      <w:r>
        <w:rPr>
          <w:rtl w:val="true"/>
        </w:rPr>
        <w:t>נתתי  דעתי לנסיבותיו האישיות של הנאשם כפי שפורטו בתסקירים מטעם  שירות המבחן</w:t>
      </w:r>
      <w:r>
        <w:rPr>
          <w:rtl w:val="true"/>
        </w:rPr>
        <w:t xml:space="preserve">. </w:t>
      </w:r>
      <w:r>
        <w:rPr>
          <w:rtl w:val="true"/>
        </w:rPr>
        <w:t xml:space="preserve">הנאשם יליד שנת </w:t>
      </w:r>
      <w:r>
        <w:rPr/>
        <w:t>1985</w:t>
      </w:r>
      <w:r>
        <w:rPr>
          <w:rtl w:val="true"/>
        </w:rPr>
        <w:t xml:space="preserve">. </w:t>
      </w:r>
      <w:r>
        <w:rPr>
          <w:rtl w:val="true"/>
        </w:rPr>
        <w:t>שירות המבחן בחן את הסיכוי של הנאשם להשתקם ומצא כי עולות ספקות לגבי סיכוי השיקום אל מול רמת הסיכון הנשקפת מהנאשם להישנות מקרים ועל כן התקשה בגיבוש עמדה חד משמעית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/>
        </w:rPr>
      </w:pPr>
      <w:r>
        <w:rPr>
          <w:rFonts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ביניהם לידי הסדר טיעון</w:t>
      </w:r>
      <w:r>
        <w:rPr>
          <w:rtl w:val="true"/>
        </w:rPr>
        <w:t xml:space="preserve">. </w:t>
      </w:r>
      <w:r>
        <w:rPr>
          <w:rtl w:val="true"/>
        </w:rPr>
        <w:t>בתי המשפט מצווים לכבד הסדרי טיעון ככל שאינם חורגים ממתחם הסבירות</w:t>
      </w:r>
      <w:r>
        <w:rPr>
          <w:rtl w:val="true"/>
        </w:rPr>
        <w:t xml:space="preserve">. </w:t>
      </w:r>
      <w:r>
        <w:rPr>
          <w:u w:val="single"/>
          <w:rtl w:val="true"/>
        </w:rPr>
        <w:t>אלמלא הסדר הטיעון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הייתי מטיל על הנאשם עונשים חמורים יותר</w:t>
      </w:r>
      <w:r>
        <w:rPr>
          <w:rtl w:val="true"/>
        </w:rPr>
        <w:t xml:space="preserve">.  </w:t>
      </w:r>
      <w:r>
        <w:rPr>
          <w:rtl w:val="true"/>
        </w:rPr>
        <w:t>חזקה על התביעה  כי הגיעה להסדר הטיעון תוך מתן משקל ראוי לאינטרס הציבורי בענישת נאשם זה ובהרתעת הרבים</w:t>
      </w:r>
      <w:r>
        <w:rPr>
          <w:rtl w:val="true"/>
        </w:rPr>
        <w:t xml:space="preserve">.  </w:t>
      </w:r>
      <w:r>
        <w:rPr>
          <w:rtl w:val="true"/>
        </w:rPr>
        <w:t>יאמר במפורש</w:t>
      </w:r>
      <w:r>
        <w:rPr>
          <w:rtl w:val="true"/>
        </w:rPr>
        <w:t xml:space="preserve">, </w:t>
      </w:r>
      <w:r>
        <w:rPr>
          <w:rtl w:val="true"/>
        </w:rPr>
        <w:t>כי מדובר בענישה מקלה</w:t>
      </w:r>
      <w:r>
        <w:rPr>
          <w:rtl w:val="true"/>
        </w:rPr>
        <w:t xml:space="preserve">, </w:t>
      </w:r>
      <w:r>
        <w:rPr>
          <w:rtl w:val="true"/>
        </w:rPr>
        <w:t>אולם יש והענישה המוצגת לבית המשפט מושפעת משיקולים רחבים אשר רב הנסתר על הנגלה בהם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rFonts w:ascii="Times New Roman-Normal-1255;Times New Roman" w:hAnsi="Times New Roman-Normal-1255;Times New Roman"/>
          <w:szCs w:val="24"/>
          <w:rtl w:val="true"/>
        </w:rPr>
        <w:t>מעיון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בגיליון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הרשעותיו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הקודמות</w:t>
      </w:r>
      <w:r>
        <w:rPr>
          <w:rFonts w:ascii="Times New Roman-Normal-1255;Times New Roman" w:hAnsi="Times New Roman-Normal-1255;Times New Roman"/>
          <w:szCs w:val="24"/>
          <w:rtl w:val="true"/>
        </w:rPr>
        <w:t xml:space="preserve">, </w:t>
      </w:r>
      <w:r>
        <w:rPr>
          <w:rFonts w:ascii="Times New Roman-Normal-1255;Times New Roman" w:hAnsi="Times New Roman-Normal-1255;Times New Roman"/>
          <w:szCs w:val="24"/>
          <w:rtl w:val="true"/>
        </w:rPr>
        <w:t>עולה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כי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לנאשם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הרשעות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קודמות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והוא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אף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ריצה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מאסרים</w:t>
      </w:r>
      <w:r>
        <w:rPr>
          <w:rFonts w:ascii="Times New Roman-Normal-1255;Times New Roman" w:hAnsi="Times New Roman-Normal-1255;Times New Roman" w:eastAsia="Times New Roman-Normal-1255;Times New Roman" w:cs="Times New Roman-Normal-1255;Times New Roman"/>
          <w:szCs w:val="24"/>
          <w:rtl w:val="true"/>
        </w:rPr>
        <w:t xml:space="preserve"> </w:t>
      </w:r>
      <w:r>
        <w:rPr>
          <w:rFonts w:ascii="Times New Roman-Normal-1255;Times New Roman" w:hAnsi="Times New Roman-Normal-1255;Times New Roman"/>
          <w:szCs w:val="24"/>
          <w:rtl w:val="true"/>
        </w:rPr>
        <w:t>בפועל</w:t>
      </w:r>
      <w:r>
        <w:rPr>
          <w:szCs w:val="24"/>
          <w:rtl w:val="true"/>
        </w:rPr>
        <w:t xml:space="preserve">. </w:t>
      </w:r>
      <w:r>
        <w:rPr>
          <w:szCs w:val="24"/>
          <w:rtl w:val="true"/>
        </w:rPr>
        <w:t>לנאשם הרשעות קודמות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אשר בין היתר כוללות תקיפת בת זוג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איומים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הפרעה לשוטר במילוי תפקידו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החזקה ושימוש בסמים שלא לצריכה עצמית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>הספקת סמים והונאה בכרטיסי חיוב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</w:r>
    </w:p>
    <w:p>
      <w:pPr>
        <w:pStyle w:val="BodyText"/>
        <w:ind w:end="0"/>
        <w:jc w:val="both"/>
        <w:rPr>
          <w:szCs w:val="24"/>
        </w:rPr>
      </w:pPr>
      <w:r>
        <w:rPr>
          <w:szCs w:val="24"/>
          <w:rtl w:val="true"/>
        </w:rPr>
        <w:t>נתתי דעתי להודאת הנאשם ולהבעת החרטה</w:t>
      </w:r>
      <w:r>
        <w:rPr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/>
          <w:bCs/>
          <w:szCs w:val="24"/>
          <w:u w:val="single"/>
          <w:rtl w:val="true"/>
        </w:rPr>
        <w:t>בהתחשב בהודאת הנאשם</w:t>
      </w:r>
      <w:r>
        <w:rPr>
          <w:b/>
          <w:bCs/>
          <w:szCs w:val="24"/>
          <w:u w:val="single"/>
          <w:rtl w:val="true"/>
        </w:rPr>
        <w:t xml:space="preserve">, </w:t>
      </w:r>
      <w:r>
        <w:rPr>
          <w:b/>
          <w:b/>
          <w:bCs/>
          <w:szCs w:val="24"/>
          <w:u w:val="single"/>
          <w:rtl w:val="true"/>
        </w:rPr>
        <w:t>ובטיעוני שני הצדדים לעונש</w:t>
      </w:r>
      <w:r>
        <w:rPr>
          <w:b/>
          <w:bCs/>
          <w:szCs w:val="24"/>
          <w:u w:val="single"/>
          <w:rtl w:val="true"/>
        </w:rPr>
        <w:t xml:space="preserve">, </w:t>
      </w:r>
      <w:r>
        <w:rPr>
          <w:b/>
          <w:b/>
          <w:bCs/>
          <w:szCs w:val="24"/>
          <w:u w:val="single"/>
          <w:rtl w:val="true"/>
        </w:rPr>
        <w:t>אני דן את הנאשם לעונשים הבאים</w:t>
      </w:r>
      <w:r>
        <w:rPr>
          <w:b/>
          <w:bCs/>
          <w:szCs w:val="24"/>
          <w:rtl w:val="true"/>
        </w:rPr>
        <w:t>:</w:t>
      </w:r>
    </w:p>
    <w:p>
      <w:pPr>
        <w:pStyle w:val="BodyText"/>
        <w:ind w:end="0"/>
        <w:jc w:val="both"/>
        <w:rPr>
          <w:b/>
          <w:bCs/>
          <w:szCs w:val="24"/>
        </w:rPr>
      </w:pPr>
      <w:r>
        <w:rPr>
          <w:b/>
          <w:bCs/>
          <w:szCs w:val="24"/>
          <w:rtl w:val="true"/>
        </w:rPr>
      </w:r>
    </w:p>
    <w:p>
      <w:pPr>
        <w:pStyle w:val="BodyText2"/>
        <w:ind w:hanging="720" w:start="720" w:end="0"/>
        <w:jc w:val="both"/>
        <w:rPr>
          <w:color w:val="000000"/>
          <w:szCs w:val="24"/>
        </w:rPr>
      </w:pPr>
      <w:r>
        <w:rPr>
          <w:szCs w:val="24"/>
          <w:rtl w:val="true"/>
        </w:rPr>
        <w:t>א</w:t>
      </w:r>
      <w:r>
        <w:rPr>
          <w:szCs w:val="24"/>
          <w:rtl w:val="true"/>
        </w:rPr>
        <w:t xml:space="preserve">.  </w:t>
        <w:tab/>
      </w:r>
      <w:r>
        <w:rPr>
          <w:szCs w:val="24"/>
          <w:rtl w:val="true"/>
        </w:rPr>
        <w:t xml:space="preserve">אני מטיל על הנאשם מאסר לתקופה של </w:t>
      </w:r>
      <w:r>
        <w:rPr>
          <w:szCs w:val="24"/>
        </w:rPr>
        <w:t>24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מהם </w:t>
      </w:r>
      <w:r>
        <w:rPr>
          <w:szCs w:val="24"/>
        </w:rPr>
        <w:t>12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 xml:space="preserve">חודשים בפועל והיתרה על תנאי למשך </w:t>
      </w:r>
      <w:r>
        <w:rPr>
          <w:szCs w:val="24"/>
        </w:rPr>
        <w:t>3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שנים החל מהיום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והתנאי שלא יעבור ויורשע על כל עבירה על </w:t>
      </w:r>
      <w:hyperlink r:id="rId24">
        <w:r>
          <w:rPr>
            <w:rStyle w:val="Hyperlink"/>
            <w:szCs w:val="24"/>
            <w:rtl w:val="true"/>
          </w:rPr>
          <w:t>פקודת הסמים המסוכנים</w:t>
        </w:r>
      </w:hyperlink>
      <w:r>
        <w:rPr>
          <w:color w:val="000000"/>
          <w:szCs w:val="24"/>
          <w:rtl w:val="true"/>
        </w:rPr>
        <w:t xml:space="preserve"> מסוג פשע</w:t>
      </w:r>
      <w:r>
        <w:rPr>
          <w:color w:val="000000"/>
          <w:szCs w:val="24"/>
          <w:rtl w:val="true"/>
        </w:rPr>
        <w:t>.</w:t>
      </w:r>
    </w:p>
    <w:p>
      <w:pPr>
        <w:pStyle w:val="BodyText2"/>
        <w:ind w:hanging="720" w:start="720" w:end="0"/>
        <w:jc w:val="both"/>
        <w:rPr>
          <w:color w:val="000000"/>
          <w:szCs w:val="24"/>
        </w:rPr>
      </w:pPr>
      <w:r>
        <w:rPr>
          <w:color w:val="000000"/>
          <w:szCs w:val="24"/>
          <w:rtl w:val="true"/>
        </w:rPr>
      </w:r>
    </w:p>
    <w:p>
      <w:pPr>
        <w:pStyle w:val="BodyText2"/>
        <w:ind w:hanging="720" w:start="720" w:end="0"/>
        <w:jc w:val="both"/>
        <w:rPr>
          <w:szCs w:val="24"/>
        </w:rPr>
      </w:pPr>
      <w:r>
        <w:rPr>
          <w:szCs w:val="24"/>
          <w:rtl w:val="true"/>
        </w:rPr>
        <w:t>ב</w:t>
      </w:r>
      <w:r>
        <w:rPr>
          <w:szCs w:val="24"/>
          <w:rtl w:val="true"/>
        </w:rPr>
        <w:t xml:space="preserve">.      </w:t>
        <w:tab/>
      </w:r>
      <w:r>
        <w:rPr>
          <w:szCs w:val="24"/>
          <w:rtl w:val="true"/>
        </w:rPr>
        <w:t xml:space="preserve">אני מורה על הפעלת עונש המאסר המותנה  לתקופה של </w:t>
      </w:r>
      <w:r>
        <w:rPr>
          <w:szCs w:val="24"/>
        </w:rPr>
        <w:t>10</w:t>
      </w:r>
      <w:r>
        <w:rPr>
          <w:szCs w:val="24"/>
          <w:rtl w:val="true"/>
        </w:rPr>
        <w:t xml:space="preserve"> </w:t>
      </w:r>
      <w:r>
        <w:rPr>
          <w:szCs w:val="24"/>
          <w:rtl w:val="true"/>
        </w:rPr>
        <w:t>חודשים</w:t>
      </w:r>
      <w:r>
        <w:rPr>
          <w:szCs w:val="24"/>
          <w:rtl w:val="true"/>
        </w:rPr>
        <w:t xml:space="preserve">, </w:t>
      </w:r>
      <w:r>
        <w:rPr>
          <w:szCs w:val="24"/>
          <w:rtl w:val="true"/>
        </w:rPr>
        <w:t xml:space="preserve">אשר הוטל על הנאשם  בתיק </w:t>
      </w:r>
      <w:r>
        <w:rPr>
          <w:szCs w:val="24"/>
        </w:rPr>
        <w:t>2084/06</w:t>
      </w:r>
      <w:r>
        <w:rPr>
          <w:szCs w:val="24"/>
          <w:rtl w:val="true"/>
        </w:rPr>
        <w:t xml:space="preserve"> (</w:t>
      </w:r>
      <w:r>
        <w:rPr>
          <w:szCs w:val="24"/>
          <w:rtl w:val="true"/>
        </w:rPr>
        <w:t>שלום טבריה</w:t>
      </w:r>
      <w:r>
        <w:rPr>
          <w:szCs w:val="24"/>
          <w:rtl w:val="true"/>
        </w:rPr>
        <w:t xml:space="preserve">), </w:t>
      </w:r>
      <w:r>
        <w:rPr>
          <w:szCs w:val="24"/>
          <w:rtl w:val="true"/>
        </w:rPr>
        <w:t>בחופף ובמצטבר למאסר אותו הטלתי בתיק זה</w:t>
      </w:r>
      <w:r>
        <w:rPr>
          <w:szCs w:val="24"/>
          <w:rtl w:val="true"/>
        </w:rPr>
        <w:t xml:space="preserve">. </w:t>
      </w:r>
    </w:p>
    <w:p>
      <w:pPr>
        <w:pStyle w:val="BodyText2"/>
        <w:ind w:start="720" w:end="0"/>
        <w:jc w:val="both"/>
        <w:rPr>
          <w:b/>
          <w:bCs/>
          <w:color w:val="000000"/>
          <w:szCs w:val="24"/>
        </w:rPr>
      </w:pPr>
      <w:r>
        <w:rPr>
          <w:b/>
          <w:b/>
          <w:bCs/>
          <w:color w:val="000000"/>
          <w:szCs w:val="24"/>
          <w:rtl w:val="true"/>
        </w:rPr>
        <w:t xml:space="preserve">סך הכל ירצה הנאשם מאסר בפועל של </w:t>
      </w:r>
      <w:r>
        <w:rPr>
          <w:b/>
          <w:bCs/>
          <w:color w:val="000000"/>
          <w:szCs w:val="24"/>
        </w:rPr>
        <w:t>16</w:t>
      </w:r>
      <w:r>
        <w:rPr>
          <w:b/>
          <w:bCs/>
          <w:color w:val="000000"/>
          <w:szCs w:val="24"/>
          <w:rtl w:val="true"/>
        </w:rPr>
        <w:t xml:space="preserve"> </w:t>
      </w:r>
      <w:r>
        <w:rPr>
          <w:b/>
          <w:b/>
          <w:bCs/>
          <w:color w:val="000000"/>
          <w:szCs w:val="24"/>
          <w:rtl w:val="true"/>
        </w:rPr>
        <w:t>חודשים בפועל</w:t>
      </w:r>
      <w:r>
        <w:rPr>
          <w:b/>
          <w:bCs/>
          <w:color w:val="000000"/>
          <w:szCs w:val="24"/>
          <w:rtl w:val="true"/>
        </w:rPr>
        <w:t xml:space="preserve">, </w:t>
      </w:r>
      <w:r>
        <w:rPr>
          <w:b/>
          <w:b/>
          <w:bCs/>
          <w:color w:val="000000"/>
          <w:szCs w:val="24"/>
          <w:rtl w:val="true"/>
        </w:rPr>
        <w:t>ללא ניכוי ימי מעצרו</w:t>
      </w:r>
      <w:r>
        <w:rPr>
          <w:b/>
          <w:bCs/>
          <w:color w:val="000000"/>
          <w:szCs w:val="24"/>
          <w:rtl w:val="true"/>
        </w:rPr>
        <w:t xml:space="preserve">. </w:t>
      </w:r>
    </w:p>
    <w:p>
      <w:pPr>
        <w:pStyle w:val="BodyText2"/>
        <w:ind w:start="720" w:end="0"/>
        <w:jc w:val="both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color w:val="000000"/>
        </w:rPr>
      </w:pPr>
      <w:r>
        <w:rPr>
          <w:color w:val="000000"/>
          <w:rtl w:val="true"/>
        </w:rPr>
        <w:t>ג</w:t>
      </w:r>
      <w:r>
        <w:rPr>
          <w:color w:val="000000"/>
          <w:rtl w:val="true"/>
        </w:rPr>
        <w:t>.</w:t>
        <w:tab/>
      </w:r>
      <w:r>
        <w:rPr>
          <w:rFonts w:ascii="Arial" w:hAnsi="Arial" w:cs="Arial"/>
          <w:color w:val="000000"/>
          <w:rtl w:val="true"/>
        </w:rPr>
        <w:t xml:space="preserve">אני מטיל על הנאשם מאסר על תנאי של </w:t>
      </w:r>
      <w:r>
        <w:rPr>
          <w:rFonts w:cs="Arial" w:ascii="Arial" w:hAnsi="Arial"/>
          <w:color w:val="000000"/>
        </w:rPr>
        <w:t>5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חודשים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למשך </w:t>
      </w:r>
      <w:r>
        <w:rPr>
          <w:rFonts w:cs="Arial" w:ascii="Arial" w:hAnsi="Arial"/>
          <w:color w:val="000000"/>
        </w:rPr>
        <w:t>3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שנים החל מהיום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והתנאי שלא </w:t>
      </w:r>
      <w:r>
        <w:rPr>
          <w:rFonts w:cs="Arial" w:ascii="Arial" w:hAnsi="Arial"/>
          <w:color w:val="000000"/>
          <w:rtl w:val="true"/>
        </w:rPr>
        <w:tab/>
      </w:r>
      <w:r>
        <w:rPr>
          <w:rFonts w:ascii="Arial" w:hAnsi="Arial" w:cs="Arial"/>
          <w:color w:val="000000"/>
          <w:rtl w:val="true"/>
        </w:rPr>
        <w:t xml:space="preserve">יעבור ויורשע על כל עבירה על </w:t>
      </w:r>
      <w:hyperlink r:id="rId25">
        <w:r>
          <w:rPr>
            <w:rStyle w:val="Hyperlink"/>
            <w:rFonts w:ascii="Arial" w:hAnsi="Arial" w:cs="Arial"/>
            <w:rtl w:val="true"/>
          </w:rPr>
          <w:t>פקודת הסמים המסוכנים</w:t>
        </w:r>
      </w:hyperlink>
      <w:r>
        <w:rPr>
          <w:rFonts w:ascii="Arial" w:hAnsi="Arial" w:cs="Arial"/>
          <w:color w:val="000000"/>
          <w:rtl w:val="true"/>
        </w:rPr>
        <w:t xml:space="preserve"> מסוג עוון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top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textAlignment w:val="top"/>
        <w:rPr>
          <w:rFonts w:ascii="Times New Roman" w:hAnsi="Times New Roman" w:cs="Times New Roman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   </w:t>
        <w:tab/>
      </w:r>
      <w:r>
        <w:rPr>
          <w:rtl w:val="true"/>
        </w:rPr>
        <w:t>אני פוסל את הנאשם מלנהוג ברכב מנועי ו</w:t>
      </w:r>
      <w:r>
        <w:rPr>
          <w:rtl w:val="true"/>
        </w:rPr>
        <w:t>/</w:t>
      </w:r>
      <w:r>
        <w:rPr>
          <w:rtl w:val="true"/>
        </w:rPr>
        <w:t xml:space="preserve">או להחזיק ברישיון נהיגה למשך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color w:val="FF0000"/>
          <w:rtl w:val="true"/>
        </w:rPr>
        <w:tab/>
      </w:r>
      <w:r>
        <w:rPr>
          <w:rtl w:val="true"/>
        </w:rPr>
        <w:t>מיום שחרורו מן הכלא</w:t>
      </w:r>
      <w:r>
        <w:rPr>
          <w:rtl w:val="true"/>
        </w:rPr>
        <w:t xml:space="preserve">. </w:t>
      </w:r>
    </w:p>
    <w:p>
      <w:pPr>
        <w:pStyle w:val="gufpsak"/>
        <w:shd w:fill="FFFFFF" w:val="clear"/>
        <w:bidi w:val="1"/>
        <w:spacing w:lineRule="auto" w:line="360"/>
        <w:ind w:hanging="720" w:start="720" w:end="0"/>
        <w:jc w:val="both"/>
        <w:rPr>
          <w:rFonts w:cs="David"/>
          <w:b/>
          <w:bCs/>
        </w:rPr>
      </w:pPr>
      <w:r>
        <w:rPr>
          <w:rFonts w:cs="David"/>
          <w:b/>
          <w:b/>
          <w:bCs/>
          <w:rtl w:val="true"/>
        </w:rPr>
        <w:t>המוצגים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להשמדה</w:t>
      </w:r>
      <w:r>
        <w:rPr>
          <w:rFonts w:cs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b/>
          <w:b/>
          <w:bCs/>
          <w:rtl w:val="true"/>
        </w:rPr>
        <w:t>זכות ערעור לבית המשפט המחוזי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24/04/2012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tbl>
      <w:tblPr>
        <w:bidiVisual w:val="true"/>
        <w:tblW w:w="3420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</w:tblGrid>
      <w:tr>
        <w:trPr>
          <w:cantSplit w:val="true"/>
        </w:trPr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ייאסר כעת</w:t>
      </w:r>
      <w:r>
        <w:rPr>
          <w:rtl w:val="true"/>
        </w:rPr>
        <w:t xml:space="preserve">, </w:t>
      </w:r>
      <w:r>
        <w:rPr>
          <w:rtl w:val="true"/>
        </w:rPr>
        <w:t>אולם המשך מאסרו ידחה בכפוף למילוי התנאים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הנאשם יתייצב לריצוי עונשו בתאריך </w:t>
      </w:r>
      <w:r>
        <w:rPr/>
        <w:t>1.8.12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11.00</w:t>
      </w:r>
      <w:r>
        <w:rPr>
          <w:rtl w:val="true"/>
        </w:rPr>
        <w:t xml:space="preserve"> </w:t>
      </w:r>
      <w:r>
        <w:rPr>
          <w:rtl w:val="true"/>
        </w:rPr>
        <w:t>בכלא צלמון או בהתאם להוראות שיקבל מקצין שב</w:t>
      </w:r>
      <w:r>
        <w:rPr>
          <w:rtl w:val="true"/>
        </w:rPr>
        <w:t>"</w:t>
      </w:r>
      <w:r>
        <w:rPr>
          <w:rtl w:val="true"/>
        </w:rPr>
        <w:t>ס במסגרת מיון מוקדם של אסירים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 יחתום על התחייבות להתייצב להמשך מאסרו ו</w:t>
      </w:r>
      <w:r>
        <w:rPr>
          <w:rtl w:val="true"/>
        </w:rPr>
        <w:t>/</w:t>
      </w:r>
      <w:r>
        <w:rPr>
          <w:rtl w:val="true"/>
        </w:rPr>
        <w:t>או לכל דיון שיקבע בעניינו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ההתחייבות תהא על סך </w:t>
      </w:r>
      <w:r>
        <w:rPr/>
        <w:t>5,000</w:t>
      </w:r>
      <w:r>
        <w:rPr>
          <w:rtl w:val="true"/>
        </w:rPr>
        <w:t xml:space="preserve">  ₪ </w:t>
      </w:r>
      <w:r>
        <w:rPr>
          <w:rtl w:val="true"/>
        </w:rPr>
        <w:t>ובערבות שני ערבים על סכום זהה כל אחד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לבקשת הסנגור</w:t>
      </w:r>
      <w:r>
        <w:rPr>
          <w:rtl w:val="true"/>
        </w:rPr>
        <w:t xml:space="preserve">, </w:t>
      </w:r>
      <w:r>
        <w:rPr>
          <w:rtl w:val="true"/>
        </w:rPr>
        <w:t>אני מתיר כי הערבים יחתמו על הערבות בבית משפט השלום בבית שאן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מוצא בזאת צו עיכוב יציאה מהארץ כנגד הנאשם אשר יהיה בתוקף למשך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יום או עד למועד התייצבות הנאשם לריצוי המאסר</w:t>
      </w:r>
      <w:r>
        <w:rPr>
          <w:rtl w:val="true"/>
        </w:rPr>
        <w:t xml:space="preserve">, </w:t>
      </w:r>
      <w:r>
        <w:rPr>
          <w:rtl w:val="true"/>
        </w:rPr>
        <w:t>לפי המוקדם ביניהם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 יפקיד את דרכונו במשרדי היחידה החוקרת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תשומת לב הנאשם</w:t>
      </w:r>
      <w:r>
        <w:rPr>
          <w:rtl w:val="true"/>
        </w:rPr>
        <w:t xml:space="preserve">, </w:t>
      </w:r>
      <w:r>
        <w:rPr>
          <w:rtl w:val="true"/>
        </w:rPr>
        <w:t>לאפשרות כי יפנה לשב</w:t>
      </w:r>
      <w:r>
        <w:rPr>
          <w:rtl w:val="true"/>
        </w:rPr>
        <w:t>"</w:t>
      </w:r>
      <w:r>
        <w:rPr>
          <w:rtl w:val="true"/>
        </w:rPr>
        <w:t>ס בבקשה לערוך לו מיון מוקדם בטרם מאסרו</w:t>
      </w:r>
      <w:r>
        <w:rPr>
          <w:rtl w:val="true"/>
        </w:rPr>
        <w:t xml:space="preserve">.  </w:t>
      </w:r>
      <w:r>
        <w:rPr>
          <w:rtl w:val="true"/>
        </w:rPr>
        <w:t xml:space="preserve">טלפון  </w:t>
      </w:r>
      <w:r>
        <w:rPr>
          <w:rtl w:val="true"/>
        </w:rPr>
        <w:t xml:space="preserve">-  </w:t>
      </w:r>
      <w:r>
        <w:rPr/>
        <w:t>08-9787336</w:t>
      </w:r>
      <w:r>
        <w:rPr>
          <w:rtl w:val="true"/>
        </w:rPr>
        <w:t xml:space="preserve">.   </w:t>
      </w:r>
      <w:r>
        <w:rPr>
          <w:rtl w:val="true"/>
        </w:rPr>
        <w:t xml:space="preserve">פקס – </w:t>
      </w:r>
      <w:r>
        <w:rPr/>
        <w:t>08-9194028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24/04/2012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דורון פורת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tbl>
      <w:tblPr>
        <w:bidiVisual w:val="true"/>
        <w:tblW w:w="3420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</w:tblGrid>
      <w:tr>
        <w:trPr>
          <w:cantSplit w:val="true"/>
        </w:trPr>
        <w:tc>
          <w:tcPr>
            <w:tcW w:w="3420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cs="FrankRuehl"/>
              </w:rPr>
            </w:pPr>
            <w:r>
              <w:rPr>
                <w:rFonts w:cs="FrankRuehl"/>
                <w:rtl w:val="true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אורית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Times New Roman-Normal-1255">
    <w:altName w:val="Times New Roman"/>
    <w:charset w:val="00" w:characterSet="windows-125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טב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16772-03-10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אילי ינגולוב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ascii="Times New Roman" w:hAnsi="Times New Roman" w:eastAsia="Times New Roman" w:cs="Times New Roman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BodyText2">
    <w:name w:val="Body Text 2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szCs w:val="28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gufpsak">
    <w:name w:val="gufpsak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BodyTextIndent">
    <w:name w:val="Body Text Indent"/>
    <w:basedOn w:val="Normal"/>
    <w:pPr>
      <w:spacing w:lineRule="auto" w:line="360"/>
      <w:ind w:hanging="720" w:start="720" w:end="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0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4216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10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3746655" TargetMode="External"/><Relationship Id="rId17" Type="http://schemas.openxmlformats.org/officeDocument/2006/relationships/hyperlink" Target="http://www.nevo.co.il/law/4216/13" TargetMode="External"/><Relationship Id="rId18" Type="http://schemas.openxmlformats.org/officeDocument/2006/relationships/hyperlink" Target="http://www.nevo.co.il/law/4216/19a" TargetMode="External"/><Relationship Id="rId19" Type="http://schemas.openxmlformats.org/officeDocument/2006/relationships/hyperlink" Target="http://www.nevo.co.il/case/3746656" TargetMode="External"/><Relationship Id="rId20" Type="http://schemas.openxmlformats.org/officeDocument/2006/relationships/hyperlink" Target="http://www.nevo.co.il/law/4216/7.a" TargetMode="External"/><Relationship Id="rId21" Type="http://schemas.openxmlformats.org/officeDocument/2006/relationships/hyperlink" Target="http://www.nevo.co.il/law/4216/7.c" TargetMode="External"/><Relationship Id="rId22" Type="http://schemas.openxmlformats.org/officeDocument/2006/relationships/hyperlink" Target="http://www.nevo.co.il/law/4216/7.a" TargetMode="External"/><Relationship Id="rId23" Type="http://schemas.openxmlformats.org/officeDocument/2006/relationships/hyperlink" Target="http://www.nevo.co.il/law/4216/7.c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4216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2016-04-04T10:56:00Z</dcterms:created>
  <dc:creator> </dc:creator>
  <dc:description/>
  <cp:keywords/>
  <dc:language>en-IL</dc:language>
  <cp:lastModifiedBy>miri</cp:lastModifiedBy>
  <dcterms:modified xsi:type="dcterms:W3CDTF">2016-04-04T10:56:00Z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אילי ינגולוב</vt:lpwstr>
  </property>
  <property fmtid="{D5CDD505-2E9C-101B-9397-08002B2CF9AE}" pid="4" name="CASESLISTTMP1">
    <vt:lpwstr>3746655;3746656</vt:lpwstr>
  </property>
  <property fmtid="{D5CDD505-2E9C-101B-9397-08002B2CF9AE}" pid="5" name="CITY">
    <vt:lpwstr>טב'</vt:lpwstr>
  </property>
  <property fmtid="{D5CDD505-2E9C-101B-9397-08002B2CF9AE}" pid="6" name="DATE">
    <vt:lpwstr>20120424</vt:lpwstr>
  </property>
  <property fmtid="{D5CDD505-2E9C-101B-9397-08002B2CF9AE}" pid="7" name="ISABSTRACT">
    <vt:lpwstr>Y</vt:lpwstr>
  </property>
  <property fmtid="{D5CDD505-2E9C-101B-9397-08002B2CF9AE}" pid="8" name="JUDGE">
    <vt:lpwstr>דורון פורת</vt:lpwstr>
  </property>
  <property fmtid="{D5CDD505-2E9C-101B-9397-08002B2CF9AE}" pid="9" name="LAWLISTTMP1">
    <vt:lpwstr>4216/007.a:3;007.c:3;010;013;019a</vt:lpwstr>
  </property>
  <property fmtid="{D5CDD505-2E9C-101B-9397-08002B2CF9AE}" pid="10" name="LAWLISTTMP2">
    <vt:lpwstr>70301/144</vt:lpwstr>
  </property>
  <property fmtid="{D5CDD505-2E9C-101B-9397-08002B2CF9AE}" pid="11" name="LAWYER">
    <vt:lpwstr>ו דוד קליימן;בן חמו</vt:lpwstr>
  </property>
  <property fmtid="{D5CDD505-2E9C-101B-9397-08002B2CF9AE}" pid="12" name="NEWPARTA">
    <vt:lpwstr>16772</vt:lpwstr>
  </property>
  <property fmtid="{D5CDD505-2E9C-101B-9397-08002B2CF9AE}" pid="13" name="NEWPARTB">
    <vt:lpwstr>03</vt:lpwstr>
  </property>
  <property fmtid="{D5CDD505-2E9C-101B-9397-08002B2CF9AE}" pid="14" name="NEWPARTC">
    <vt:lpwstr>10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380020120424</vt:lpwstr>
  </property>
  <property fmtid="{D5CDD505-2E9C-101B-9397-08002B2CF9AE}" pid="19" name="TYPE_N_DATE">
    <vt:lpwstr>38020120424</vt:lpwstr>
  </property>
  <property fmtid="{D5CDD505-2E9C-101B-9397-08002B2CF9AE}" pid="20" name="WORDNUMPAGES">
    <vt:lpwstr>5</vt:lpwstr>
  </property>
</Properties>
</file>