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22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093"/>
      </w:tblGrid>
      <w:tr>
        <w:trPr>
          <w:trHeight w:val="418" w:hRule="exact"/>
        </w:trPr>
        <w:tc>
          <w:tcPr>
            <w:tcW w:w="8224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16779-09-22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אלבז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09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  <w:t xml:space="preserve"> </w:t>
      </w:r>
    </w:p>
    <w:tbl>
      <w:tblPr>
        <w:bidiVisual w:val="true"/>
        <w:tblW w:w="7919" w:type="dxa"/>
        <w:jc w:val="start"/>
        <w:tblInd w:w="108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1913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3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קרזבום</w:t>
            </w:r>
          </w:p>
        </w:tc>
      </w:tr>
      <w:tr>
        <w:trPr>
          <w:trHeight w:val="328" w:hRule="atLeast"/>
          <w:cantSplit w:val="true"/>
        </w:trPr>
        <w:tc>
          <w:tcPr>
            <w:tcW w:w="19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791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9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ליאור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אלבז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 xml:space="preserve">הנאשם הודה והורשע במסגרת הסדר טיעון בכתב אישום מתוקן בעבירות נשק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החזקה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נשיאה והובלה</w:t>
      </w:r>
      <w:r>
        <w:rPr>
          <w:rFonts w:eastAsia="David" w:cs="David" w:ascii="David" w:hAnsi="David"/>
          <w:rtl w:val="true"/>
        </w:rPr>
        <w:t xml:space="preserve">) – </w:t>
      </w:r>
      <w:r>
        <w:rPr>
          <w:rFonts w:ascii="David" w:hAnsi="David" w:eastAsia="David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וסיפא </w:t>
      </w:r>
      <w:r>
        <w:rPr>
          <w:rFonts w:eastAsia="David" w:cs="David" w:ascii="David" w:hAnsi="David"/>
          <w:rtl w:val="true"/>
        </w:rPr>
        <w:t xml:space="preserve">+ </w:t>
      </w:r>
      <w:hyperlink r:id="rId12"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13">
        <w:r>
          <w:rPr>
            <w:rStyle w:val="Hyperlink"/>
            <w:rFonts w:eastAsia="David" w:cs="David" w:ascii="David" w:hAnsi="David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160"/>
        <w:ind w:hanging="360" w:start="720" w:end="-142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color w:val="000000"/>
          <w:rtl w:val="true"/>
        </w:rPr>
        <w:t>יוסף מזור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המתלונן מתגורר בבית פרטי בכרמיאל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אביחי גבריאלי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rtl w:val="true"/>
        </w:rPr>
        <w:t>אביחי</w:t>
      </w:r>
      <w:r>
        <w:rPr>
          <w:rFonts w:eastAsia="Calibri" w:cs="Calibri" w:ascii="Calibri" w:hAnsi="Calibri"/>
          <w:rtl w:val="true"/>
        </w:rPr>
        <w:t xml:space="preserve">") </w:t>
      </w:r>
      <w:r>
        <w:rPr>
          <w:rFonts w:ascii="Calibri" w:hAnsi="Calibri" w:eastAsia="Calibri" w:cs="Calibri"/>
          <w:rtl w:val="true"/>
        </w:rPr>
        <w:t>מתגורר אף הוא בכרמיאל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בין אביחי למתלונן קיים סכסוך ובין הנאשם לאביחי קיימת היכרות מוקדמת על רקע מערכת יחסים זוגית בין הנאשם לבתו של אביחי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החל ממועד שאינו ידוע למאשימה החזיק אביחי שלא כדי</w:t>
      </w:r>
      <w:r>
        <w:rPr>
          <w:rFonts w:ascii="Calibri" w:hAnsi="Calibri" w:eastAsia="Calibri" w:cs="Calibri"/>
          <w:rtl w:val="true"/>
        </w:rPr>
        <w:t>ן</w:t>
      </w:r>
      <w:r>
        <w:rPr>
          <w:rFonts w:ascii="Calibri" w:hAnsi="Calibri" w:eastAsia="Calibri" w:cs="Calibri"/>
          <w:rtl w:val="true"/>
        </w:rPr>
        <w:t xml:space="preserve"> ברימון הלם</w:t>
      </w:r>
      <w:r>
        <w:rPr>
          <w:rFonts w:eastAsia="Calibri" w:cs="Calibri" w:ascii="Calibri" w:hAnsi="Calibri"/>
          <w:rtl w:val="true"/>
        </w:rPr>
        <w:t>/</w:t>
      </w:r>
      <w:r>
        <w:rPr>
          <w:rFonts w:ascii="Calibri" w:hAnsi="Calibri" w:eastAsia="Calibri" w:cs="Calibri"/>
          <w:rtl w:val="true"/>
        </w:rPr>
        <w:t xml:space="preserve">סנוור </w:t>
      </w:r>
      <w:r>
        <w:rPr>
          <w:rFonts w:eastAsia="Calibri" w:cs="Calibri" w:ascii="Calibri" w:hAnsi="Calibri"/>
        </w:rPr>
        <w:t>M7290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rtl w:val="true"/>
        </w:rPr>
        <w:t>הרימון</w:t>
      </w:r>
      <w:r>
        <w:rPr>
          <w:rFonts w:eastAsia="Calibri" w:cs="Calibri" w:ascii="Calibri" w:hAnsi="Calibri"/>
          <w:rtl w:val="true"/>
        </w:rPr>
        <w:t>")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</w:t>
      </w:r>
      <w:r>
        <w:rPr>
          <w:rFonts w:ascii="Calibri" w:hAnsi="Calibri" w:eastAsia="Calibri" w:cs="Calibri"/>
          <w:rtl w:val="true"/>
        </w:rPr>
        <w:t>הוא כלי נשק שבכוחו להזיק לאדם בעת פעולתו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0" w:after="0"/>
        <w:ind w:start="720" w:end="-142"/>
        <w:contextualSpacing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rtl w:val="true"/>
        </w:rPr>
        <w:t xml:space="preserve">ביום </w:t>
      </w:r>
      <w:r>
        <w:rPr>
          <w:rFonts w:eastAsia="Calibri" w:cs="Calibri" w:ascii="Calibri" w:hAnsi="Calibri"/>
        </w:rPr>
        <w:t>21/8/22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בשעה שאינה ידועה במדויק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מסר אביחי את הרימון לנאשם וביקש ממנו שישמור עליו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נעתר לבקשת אביחי וקיבל את הרימון לידיו והחזיק אותו בביתו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contextualSpacing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 </w:t>
      </w:r>
      <w:r>
        <w:rPr/>
        <w:t>22.8.22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17:19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אביחי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contextualSpacing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TOMRIDE</w:t>
      </w:r>
      <w:r>
        <w:rPr>
          <w:rtl w:val="true"/>
        </w:rPr>
        <w:t xml:space="preserve"> </w:t>
      </w:r>
      <w:r>
        <w:rPr>
          <w:rtl w:val="true"/>
        </w:rPr>
        <w:t>כשאביחי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טיעוני המאשימה לעונש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 ועל הרכוש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הנשק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שיש להוקיעה מהשורש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הפנתה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מינימום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המלמד על עמדתו של המחוקק ועל הצורך להחמיר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בכלל זה הפנתה להנחיית פרקליט המדינה בדבר מדיניות הענישה המחמירה בעבירות נשק והמאמץ התביעתי להביא לצמצום תופעת עבירות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ציינה כי אכן עבירת הנשק מתייחסת לרימון הלם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עם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גם בו </w:t>
      </w:r>
      <w:r>
        <w:rPr>
          <w:rFonts w:ascii="David" w:hAnsi="David" w:eastAsia="David"/>
          <w:rtl w:val="true"/>
        </w:rPr>
        <w:t>טמון סיכון לא מבוטל לפגיעה בגופו של אדם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לנסיבות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הדגישה את האדישות והזלזול בחיי אדם המקבלים משנה תוקף מהרקע לביצוע העבירה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כאשר הנאשם בחר לקחת חלק באירוע אלים כש</w:t>
      </w:r>
      <w:r>
        <w:rPr>
          <w:rFonts w:ascii="David" w:hAnsi="David" w:eastAsia="David"/>
          <w:rtl w:val="true"/>
        </w:rPr>
        <w:t xml:space="preserve">הוא </w:t>
      </w:r>
      <w:r>
        <w:rPr>
          <w:rFonts w:ascii="David" w:hAnsi="David" w:eastAsia="David"/>
          <w:rtl w:val="true"/>
        </w:rPr>
        <w:t>אינו צד לסכסוך השורר בין אביחי לבין המתלונן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הפנתה לתכנון שקדם לעבירות</w:t>
      </w:r>
      <w:r>
        <w:rPr>
          <w:rFonts w:ascii="David" w:hAnsi="David" w:eastAsia="David"/>
          <w:rtl w:val="true"/>
        </w:rPr>
        <w:t xml:space="preserve"> כמפורט בכתב האישום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עוד הדגישה כי חלקו של הנאשם משמעותי </w:t>
      </w:r>
      <w:r>
        <w:rPr>
          <w:rFonts w:ascii="David" w:hAnsi="David" w:eastAsia="David"/>
          <w:rtl w:val="true"/>
        </w:rPr>
        <w:t>מאחר וה</w:t>
      </w:r>
      <w:r>
        <w:rPr>
          <w:rFonts w:ascii="David" w:hAnsi="David" w:eastAsia="David"/>
          <w:rtl w:val="true"/>
        </w:rPr>
        <w:t>רימון היה שמור אצלו למספר ימים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והוא זה אשר בפועל השלי</w:t>
      </w:r>
      <w:r>
        <w:rPr>
          <w:rFonts w:ascii="David" w:hAnsi="David" w:eastAsia="David"/>
          <w:rtl w:val="true"/>
        </w:rPr>
        <w:t xml:space="preserve">כו </w:t>
      </w:r>
      <w:r>
        <w:rPr>
          <w:rFonts w:ascii="David" w:hAnsi="David" w:eastAsia="David"/>
          <w:rtl w:val="true"/>
        </w:rPr>
        <w:t>לעבר ביתו של המתלונן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ציינה כי אמנם לא נגרם נזק לגוף או לרכוש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עם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ניתן להתעלם מהנזק הפוטנציאלי שהיה עלול להיגרם ומתחושות הפחד והבהלה שאחזו במתלונן ובבני משפחתו נוכח מעשהו של הנאשם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ציינה כי מדובר בנאשם בגיר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שאינו</w:t>
      </w:r>
      <w:r>
        <w:rPr>
          <w:rFonts w:ascii="David" w:hAnsi="David" w:eastAsia="David"/>
          <w:rtl w:val="true"/>
        </w:rPr>
        <w:t xml:space="preserve"> סובל מלקויות כלשהן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אינו קרוב לשום סייג לאחריות פלילית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היה במצוקה נפשית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ולא קדמה למעשיו התגרות כאשר הוא הבין היטב את מעשיו ואת השלכותיהן וגם אם המעורב האחר היה מבוגר ממנו והשפיע עליו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עדיין יכול היה בכל שלב לחדול ממעשיו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לאמור בתסקיר שירות המבחן והמלצותיו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ציינה כי על אף שהנאשם לקח אחריות על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השליך את מעשיו על גורמים חיצוניים ו</w:t>
      </w:r>
      <w:r>
        <w:rPr>
          <w:rFonts w:ascii="David" w:hAnsi="David" w:eastAsia="David"/>
          <w:rtl w:val="true"/>
        </w:rPr>
        <w:t xml:space="preserve">גם </w:t>
      </w:r>
      <w:r>
        <w:rPr>
          <w:rFonts w:ascii="David" w:hAnsi="David" w:eastAsia="David"/>
          <w:rtl w:val="true"/>
        </w:rPr>
        <w:t>המוטיבציה לשינוי היא חיצונית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ובהתאם ביקשה </w:t>
      </w:r>
      <w:r>
        <w:rPr>
          <w:rFonts w:ascii="David" w:hAnsi="David" w:eastAsia="David"/>
          <w:rtl w:val="true"/>
        </w:rPr>
        <w:t>ש</w:t>
      </w:r>
      <w:r>
        <w:rPr>
          <w:rFonts w:ascii="David" w:hAnsi="David" w:eastAsia="David"/>
          <w:rtl w:val="true"/>
        </w:rPr>
        <w:t>לא לאמץ את המצלות שירות המבחן וטענה כי אין מקום לחרוג לקולה ממתחם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שכן לא ניתן לקבוע בשלב התחלתי של הטיפול כי קיים סיכוי ממשי שהנאשם יעבור הליך טיפולי משמעותי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אשר לנסיבות שאינן קשורות בביצוע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הפנתה להודאת הנאשם וקבלת האחריות והעובדה כי הוא נעדר עבר פלילי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הקשור למדיניות הענישה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הפנתה לפסיקה רלוונטית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ביקשה לראות בכתב האישום כאירוע אחד וטענה למתחם עונש הולם אחד אשר נע בין </w:t>
      </w:r>
      <w:r>
        <w:rPr>
          <w:rFonts w:eastAsia="David" w:cs="David" w:ascii="David" w:hAnsi="David"/>
        </w:rPr>
        <w:t>24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ועד 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עם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ומטעמים של אחידות בענישה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הסכימה כי עונשו של הנאשם ייגזר בהתאם למתחם שנקבע בעניין שותפו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בין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ביקשה למקם את עונשו של הנאשם ברף התחתון של המתחם ללא ניכוי ימי מעצרו בפיקוח אלקטרוני </w:t>
      </w:r>
      <w:r>
        <w:rPr>
          <w:rFonts w:eastAsia="David" w:cs="David" w:ascii="David" w:hAnsi="David"/>
          <w:rtl w:val="true"/>
        </w:rPr>
        <w:t>,</w:t>
      </w:r>
      <w:r>
        <w:rPr>
          <w:rFonts w:ascii="David" w:hAnsi="David" w:eastAsia="David"/>
          <w:rtl w:val="true"/>
        </w:rPr>
        <w:t>בצירוף עונש של מאסר מותנה ארוך ומשמעותי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קנס ופיצויים לנפגעי העבירה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לקבלת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הודאתו המידית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הבעת החרטה ושיתוף הפעולה המלא עם רשויות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לגילו הצעיר ולנסיבותיו האישיות הקשות כעולה מתסקיר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ובפרט העובדה כי גדל ללא דמות אבהית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כשבמהלך ילדותו חווה קשיים כולל מחשבות אובדניות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שהה במוסד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אהבה 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ובהמשך התגייס לצבא</w:t>
      </w:r>
      <w:r>
        <w:rPr>
          <w:rFonts w:ascii="David" w:hAnsi="David" w:eastAsia="Calibri"/>
          <w:rtl w:val="true"/>
        </w:rPr>
        <w:t xml:space="preserve"> שם שירת עד ליום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ביקש להתחשב בתקופת המעצר בה הנאשם </w:t>
      </w:r>
      <w:r>
        <w:rPr>
          <w:rFonts w:ascii="David" w:hAnsi="David" w:eastAsia="Calibri"/>
          <w:rtl w:val="true"/>
        </w:rPr>
        <w:t xml:space="preserve">היה </w:t>
      </w:r>
      <w:r>
        <w:rPr>
          <w:rFonts w:ascii="David" w:hAnsi="David" w:eastAsia="Calibri"/>
          <w:rtl w:val="true"/>
        </w:rPr>
        <w:t>נתון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מעצר ש</w:t>
      </w:r>
      <w:r>
        <w:rPr>
          <w:rFonts w:ascii="David" w:hAnsi="David" w:eastAsia="Calibri"/>
          <w:rtl w:val="true"/>
        </w:rPr>
        <w:t>השפיע עליו קשות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כן ב</w:t>
      </w:r>
      <w:r>
        <w:rPr>
          <w:rFonts w:ascii="David" w:hAnsi="David" w:eastAsia="Calibri"/>
          <w:rtl w:val="true"/>
        </w:rPr>
        <w:t xml:space="preserve">תקופה בה היה מצוי במעצר באיזוק אלקטרוני </w:t>
      </w:r>
      <w:r>
        <w:rPr>
          <w:rFonts w:ascii="David" w:hAnsi="David" w:eastAsia="Calibri"/>
          <w:rtl w:val="true"/>
        </w:rPr>
        <w:t xml:space="preserve">ובהמשך </w:t>
      </w:r>
      <w:r>
        <w:rPr>
          <w:rFonts w:ascii="David" w:hAnsi="David" w:eastAsia="Calibri"/>
          <w:rtl w:val="true"/>
        </w:rPr>
        <w:t>בתנאי מעצר בית חלקי עם חלונות התאווררות</w:t>
      </w:r>
      <w:r>
        <w:rPr>
          <w:rFonts w:ascii="David" w:hAnsi="David" w:eastAsia="Calibri"/>
          <w:rtl w:val="true"/>
        </w:rPr>
        <w:t xml:space="preserve"> בפיקוח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להתחשב בכך כי מדובר בנשק מסוג רימון הלם עם פוטנציאל </w:t>
      </w:r>
      <w:r>
        <w:rPr>
          <w:rFonts w:ascii="David" w:hAnsi="David" w:eastAsia="Calibri"/>
          <w:rtl w:val="true"/>
        </w:rPr>
        <w:t>לגרימת נזק שאינו קטלני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 את העובדה  כי היוזם המתכנן והמוביל העיקרי היה מר אביחי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אביה של בת זוגתו לשעבר של הנאשם שהיה מסוכסך עם הקורבן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ביקש להפנות לעובדה כי מעבר לרעש והבהלה שנגרמ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 בעקבות</w:t>
      </w:r>
      <w:r>
        <w:rPr>
          <w:rFonts w:ascii="David" w:hAnsi="David" w:eastAsia="Calibri"/>
          <w:rtl w:val="true"/>
        </w:rPr>
        <w:t xml:space="preserve"> המעשה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נגרם נזק לרכוש ולא היה אדם בקרבת 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לאמור בתסקיר שירות המבחן והמלצותיו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</w:t>
      </w:r>
      <w:r>
        <w:rPr>
          <w:rFonts w:ascii="David" w:hAnsi="David" w:eastAsia="Calibri"/>
          <w:rtl w:val="true"/>
        </w:rPr>
        <w:t xml:space="preserve"> הנאשם מצוי בהליך שיקומי שצפוי להתארך ו</w:t>
      </w:r>
      <w:r>
        <w:rPr>
          <w:rFonts w:ascii="David" w:hAnsi="David" w:eastAsia="Calibri"/>
          <w:rtl w:val="true"/>
        </w:rPr>
        <w:t xml:space="preserve">הפנה לכך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הנאשם משתף פעולה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מתמיד להגיע לפגישות והטיפול אותו הוא עובר נוגע לאותם חלקים של ריצוי וקושי להציב גבולות לסביבתו אשר גרמו לנאשם לבצע את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טען כי מדובר </w:t>
      </w:r>
      <w:r>
        <w:rPr>
          <w:rFonts w:ascii="David" w:hAnsi="David" w:eastAsia="Calibri"/>
          <w:rtl w:val="true"/>
        </w:rPr>
        <w:t>בנאשם</w:t>
      </w:r>
      <w:r>
        <w:rPr>
          <w:rFonts w:ascii="David" w:hAnsi="David" w:eastAsia="Calibri"/>
          <w:rtl w:val="true"/>
        </w:rPr>
        <w:t xml:space="preserve"> 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נורמטיבי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 xml:space="preserve">נעדר </w:t>
      </w:r>
      <w:r>
        <w:rPr>
          <w:rFonts w:ascii="David" w:hAnsi="David" w:eastAsia="Calibri"/>
          <w:rtl w:val="true"/>
        </w:rPr>
        <w:t xml:space="preserve">כל </w:t>
      </w:r>
      <w:r>
        <w:rPr>
          <w:rFonts w:ascii="David" w:hAnsi="David" w:eastAsia="Calibri"/>
          <w:rtl w:val="true"/>
        </w:rPr>
        <w:t>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לפסיקה רלוונטית וטען למתחם עונש הולם אשר נע בין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הדגיש כי </w:t>
      </w:r>
      <w:r>
        <w:rPr>
          <w:rFonts w:ascii="David" w:hAnsi="David" w:eastAsia="Calibri"/>
          <w:rtl w:val="true"/>
        </w:rPr>
        <w:t xml:space="preserve"> שליחתו של הנאשם למאסר בפועל בתקופה זו של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תגרום לנזק עצום</w:t>
      </w:r>
      <w:r>
        <w:rPr>
          <w:rFonts w:ascii="David" w:hAnsi="David" w:eastAsia="Calibri"/>
          <w:rtl w:val="true"/>
        </w:rPr>
        <w:t xml:space="preserve"> והוסיף כי עצם הרשעתו תסב לו נזק ותגביל את אפשרויותיו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לאמץ את המלצות שירות המבחן ולהטיל על הנאשם</w:t>
      </w:r>
      <w:r>
        <w:rPr>
          <w:rFonts w:ascii="David" w:hAnsi="David" w:eastAsia="Calibri"/>
          <w:rtl w:val="true"/>
        </w:rPr>
        <w:t xml:space="preserve"> צו שירות לתועלת הציבור בצד צו מבחן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לרכיב הפיצוי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כי למיטב ידיעתו האישית המתלונן הלך לעולמו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עצמו הצטער </w:t>
      </w:r>
      <w:r>
        <w:rPr>
          <w:rFonts w:ascii="David" w:hAnsi="David"/>
          <w:rtl w:val="true"/>
        </w:rPr>
        <w:t>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אחריות והביע חרטה עמוקה על 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טען כי הפנים את טעותו ולמד את הלקח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כי ב</w:t>
      </w:r>
      <w:r>
        <w:rPr>
          <w:rFonts w:ascii="David" w:hAnsi="David"/>
          <w:rtl w:val="true"/>
        </w:rPr>
        <w:t>אותו יום בו ביצע את העבירות חרב עליו עולמו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שירותו הצבאי שהיה כה משמעותי עבורו הופסק לאלתר ונגוזו כל חלומותיו לרבות </w:t>
      </w:r>
      <w:r>
        <w:rPr>
          <w:rFonts w:ascii="David" w:hAnsi="David"/>
          <w:rtl w:val="true"/>
        </w:rPr>
        <w:t>הטיול לאחר הצבא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רצונו לשמש בת</w:t>
      </w:r>
      <w:r>
        <w:rPr>
          <w:rFonts w:ascii="David" w:hAnsi="David"/>
          <w:rtl w:val="true"/>
        </w:rPr>
        <w:t>פקיד מאבטח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שיתף </w:t>
      </w:r>
      <w:r>
        <w:rPr>
          <w:rFonts w:ascii="David" w:hAnsi="David"/>
          <w:rtl w:val="true"/>
        </w:rPr>
        <w:t xml:space="preserve"> בקשיים שליוו אותו בילדותו בהיעדר דמות 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היה זה </w:t>
      </w:r>
      <w:r>
        <w:rPr>
          <w:rFonts w:ascii="David" w:hAnsi="David"/>
          <w:rtl w:val="true"/>
        </w:rPr>
        <w:t xml:space="preserve">אביה של בת זוגתו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מילא </w:t>
      </w:r>
      <w:r>
        <w:rPr>
          <w:rFonts w:ascii="David" w:hAnsi="David"/>
          <w:rtl w:val="true"/>
        </w:rPr>
        <w:t xml:space="preserve">עבורו חלל זה </w:t>
      </w:r>
      <w:r>
        <w:rPr>
          <w:rFonts w:ascii="David" w:hAnsi="David"/>
          <w:rtl w:val="true"/>
        </w:rPr>
        <w:t>והיווה עבורו דמות אב שכה חסרה לו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הביע רצון ללמוד </w:t>
      </w:r>
      <w:r>
        <w:rPr>
          <w:rFonts w:ascii="David" w:hAnsi="David"/>
          <w:rtl w:val="true"/>
        </w:rPr>
        <w:t>ולהתקדם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firstLine="391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firstLine="391" w:end="0"/>
        <w:contextualSpacing/>
        <w:jc w:val="both"/>
        <w:rPr>
          <w:rFonts w:ascii="David" w:hAnsi="David" w:cs="David"/>
          <w:b/>
          <w:bCs/>
          <w:sz w:val="14"/>
          <w:szCs w:val="14"/>
          <w:u w:val="single"/>
        </w:rPr>
      </w:pPr>
      <w:r>
        <w:rPr>
          <w:rFonts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תסקירי שירות המבחן שהוגשו בעניינו של הנאשם פורטו בהרחבה נסיבותיו האישיות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תחילה הנאשם התקשה לשתף פעולה עם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ובהדרגה גבר שיתוף הפעולה  ובמסגרת התסקיר המשלים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דווח כי </w:t>
      </w:r>
      <w:r>
        <w:rPr>
          <w:rFonts w:ascii="David" w:hAnsi="David"/>
          <w:rtl w:val="true"/>
        </w:rPr>
        <w:t>הנאשם לוקח אחריות על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מביע צער רב וחרטה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מגלה אמפתיה כלפי נפגעי העבירה והבנה לחומרת העבירה והסכנות הכרוכות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כגורמי סיכוי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מנה את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עבר פלילי והיעדר קיומם של דפוסים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נלקחו בחשבון המחירים התדמיתיים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המשפחתיים והחברתיים אותם שילם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העובדה כי חווה זעזוע עקב מעצרו ונראה כי מעצרו מהווה עבורו גורם </w:t>
      </w:r>
      <w:r>
        <w:rPr>
          <w:rFonts w:ascii="David" w:hAnsi="David"/>
          <w:rtl w:val="true"/>
        </w:rPr>
        <w:t xml:space="preserve">מרתיע </w:t>
      </w:r>
      <w:r>
        <w:rPr>
          <w:rFonts w:ascii="David" w:hAnsi="David"/>
          <w:rtl w:val="true"/>
        </w:rPr>
        <w:t>מפני ביצוע עבירות דומות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נלקחה בחשבון העובדה כי הוא מגלה הבנה ותובנה כלפי דפוסי הריצוי אשר עמדו ברקע לביצוע</w:t>
      </w:r>
      <w:r>
        <w:rPr>
          <w:rFonts w:ascii="David" w:hAnsi="David"/>
          <w:rtl w:val="true"/>
        </w:rPr>
        <w:t xml:space="preserve">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</w:t>
      </w:r>
      <w:r>
        <w:rPr>
          <w:rFonts w:ascii="David" w:hAnsi="David"/>
          <w:rtl w:val="true"/>
        </w:rPr>
        <w:t>מביע מוטיבציה להשתלב בתכנית טיפול אשר תיתן מענה לצרכיו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סבר כי השתלבותו של הנאשם במענה טיפולי מותאם תפחית את הסיכויים להישנות עבירות דומות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בתקופת הדחייה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שולב בקבוצה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ושרות המבחן מתרשם כי קיימת</w:t>
      </w:r>
      <w:r>
        <w:rPr>
          <w:rFonts w:ascii="David" w:hAnsi="David"/>
          <w:rtl w:val="true"/>
        </w:rPr>
        <w:t xml:space="preserve"> מוטיבציה פנימית להמשך השתתפות בקבוצה ונכונות להמשיך להעמיק ולחקור את המניעים אשר הובילו אותו לביצוע העבירה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במכלול הנסיבות שרות המבחן ממליץ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על הטלת צו </w:t>
      </w:r>
      <w:r>
        <w:rPr>
          <w:rFonts w:ascii="David" w:hAnsi="David"/>
          <w:rtl w:val="true"/>
        </w:rPr>
        <w:t xml:space="preserve">מבחן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וצו שירות</w:t>
      </w:r>
      <w:r>
        <w:rPr>
          <w:rFonts w:ascii="David" w:hAnsi="David"/>
          <w:rtl w:val="true"/>
        </w:rPr>
        <w:t xml:space="preserve"> בהיקף של </w:t>
      </w:r>
      <w:r>
        <w:rPr>
          <w:rFonts w:cs="David" w:ascii="David" w:hAnsi="David"/>
        </w:rPr>
        <w:t>180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לחילופין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כי במידה ובית המשפט שוקל להטיל על הנאשם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הומלץ להמירו לעבודות שירות וזאת נוכח ההתרשמות כי מאסר מאחורי סורג ובריח עלול להוביל להתדרדרות במצבו הרגשי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לחשיפתו לגורמים שוליים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להקשות על שיקומו ולהגדיל את הסיכוי להישנות ביצוע עבירות דומות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 xml:space="preserve"> הומלץ על הטלת מאסר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חוות דעת הממונה על עבודות השרות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מחוות דעת הממונה על עבודות השרות עולה כי הנאשם נמצא כשיר לריצוי מאסר בדרך של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16">
        <w:r>
          <w:rPr>
            <w:rStyle w:val="Hyperlink"/>
            <w:rFonts w:ascii="David" w:hAnsi="David" w:eastAsia="David"/>
            <w:rtl w:val="true"/>
          </w:rPr>
          <w:t>ו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-</w:t>
        </w:r>
        <w:r>
          <w:rPr>
            <w:rStyle w:val="Hyperlink"/>
            <w:rFonts w:ascii="David" w:hAnsi="David" w:eastAsia="David"/>
            <w:rtl w:val="true"/>
          </w:rPr>
          <w:t>טו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19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 xml:space="preserve">הערכים המוגנים שנפגעו כתוצאה מביצוע העבירות נשוא כתב האישום המתוקן הינם הצורך לשמור </w:t>
      </w:r>
      <w:r>
        <w:rPr>
          <w:rFonts w:ascii="David" w:hAnsi="David" w:eastAsia="David"/>
          <w:spacing w:val="10"/>
          <w:rtl w:val="true"/>
        </w:rPr>
        <w:t>על חיי אדם ושלמות הגו</w:t>
      </w:r>
      <w:r>
        <w:rPr>
          <w:rFonts w:ascii="David" w:hAnsi="David" w:eastAsia="David"/>
          <w:spacing w:val="10"/>
          <w:rtl w:val="true"/>
        </w:rPr>
        <w:t>ף</w:t>
      </w:r>
      <w:r>
        <w:rPr>
          <w:rFonts w:eastAsia="David" w:cs="David" w:ascii="David" w:hAnsi="David"/>
          <w:spacing w:val="10"/>
          <w:rtl w:val="true"/>
        </w:rPr>
        <w:t>,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2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2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אם קיימת התערבות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לאחרונה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נאמרו על ידִי הדברים הבאים במסגרת </w:t>
      </w:r>
      <w:hyperlink r:id="rId22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בסילה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: 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 ממש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ולא בכדי נתקבל עתה תיקון ל</w:t>
      </w:r>
      <w:hyperlink r:id="rId23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תיקון מס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b/>
          <w:bCs/>
          <w:sz w:val="22"/>
          <w:szCs w:val="22"/>
        </w:rPr>
        <w:t>140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הוראת שעה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התשפ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-</w:t>
      </w:r>
      <w:r>
        <w:rPr>
          <w:rFonts w:eastAsia="David" w:cs="David" w:ascii="David" w:hAnsi="David"/>
          <w:b/>
          <w:bCs/>
          <w:sz w:val="22"/>
          <w:szCs w:val="22"/>
        </w:rPr>
        <w:t>2021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 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פסקה </w:t>
      </w:r>
      <w:r>
        <w:rPr>
          <w:rFonts w:eastAsia="David" w:cs="David" w:ascii="David" w:hAnsi="David"/>
          <w:b/>
          <w:bCs/>
          <w:sz w:val="22"/>
          <w:szCs w:val="22"/>
        </w:rPr>
        <w:t>25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).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</w:t>
      </w:r>
      <w:hyperlink r:id="rId24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2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...".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לגופם של דברים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0"/>
          <w:szCs w:val="10"/>
        </w:rPr>
      </w:pPr>
      <w:r>
        <w:rPr>
          <w:rFonts w:eastAsia="David" w:cs="David" w:ascii="David" w:hAnsi="David"/>
          <w:b/>
          <w:bCs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b/>
          <w:bCs/>
          <w:sz w:val="22"/>
          <w:szCs w:val="22"/>
        </w:rPr>
      </w:pPr>
      <w:r>
        <w:rPr>
          <w:rFonts w:ascii="David" w:hAnsi="David"/>
          <w:color w:val="000000"/>
          <w:rtl w:val="true"/>
        </w:rPr>
        <w:t>במקרה זה עבירת הנשק מתייחסת לרימון הלם</w:t>
      </w:r>
      <w:r>
        <w:rPr>
          <w:rFonts w:ascii="David" w:hAnsi="David"/>
          <w:color w:val="000000"/>
          <w:rtl w:val="true"/>
        </w:rPr>
        <w:t xml:space="preserve"> שפוטנציאל הנזק הנשקף ממנו אינו דומה </w:t>
      </w:r>
      <w:r>
        <w:rPr>
          <w:rFonts w:ascii="David" w:hAnsi="David"/>
          <w:color w:val="000000"/>
          <w:rtl w:val="true"/>
        </w:rPr>
        <w:t xml:space="preserve">לרימון רסס </w:t>
      </w:r>
      <w:r>
        <w:rPr>
          <w:rFonts w:ascii="David" w:hAnsi="David"/>
          <w:color w:val="000000"/>
          <w:rtl w:val="true"/>
        </w:rPr>
        <w:t xml:space="preserve">או </w:t>
      </w:r>
      <w:r>
        <w:rPr>
          <w:rFonts w:ascii="David" w:hAnsi="David"/>
          <w:color w:val="000000"/>
          <w:rtl w:val="true"/>
        </w:rPr>
        <w:t xml:space="preserve">נשק </w:t>
      </w:r>
      <w:r>
        <w:rPr>
          <w:rFonts w:ascii="David" w:hAnsi="David"/>
          <w:color w:val="000000"/>
          <w:rtl w:val="true"/>
        </w:rPr>
        <w:t>חם אחר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 בכתב האישום צוין כי הרימון המדובר הוא כלי נשק שבכוחו להזיק לאדם בעת פעולתו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זאת להבדיל מפגיעה קטלנית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ג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 xml:space="preserve">.) 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 ברימון הלם טמון סיכון לא מבוטל לפגיעה בגופו של 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 שנקבע בפסיקה</w:t>
      </w:r>
      <w:r>
        <w:rPr>
          <w:rFonts w:cs="David" w:ascii="David" w:hAnsi="David"/>
          <w:color w:val="000000"/>
          <w:sz w:val="22"/>
          <w:szCs w:val="22"/>
          <w:rtl w:val="true"/>
        </w:rPr>
        <w:t>: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העובדה שתוצאתו של הפיצוץ איננה ההרס והחורבן הנגרמים מרימונים 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רגילים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" -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אינה גורעת מ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'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נפיצותו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של הרימון המחולל אותו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...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גם בשאלה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האם בכוחו של רימון מסוג זה להזיק לאדם דומני שיישומו של המבחן אשר נקבע בהלכת שטרית</w:t>
      </w:r>
      <w:r>
        <w:rPr>
          <w:rFonts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מניב תוצאה ברורה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טשטושו של אדם והכנסתו למצב של הלם – הינם נזקים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רימון היוצר מצב של הלם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;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קרי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: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רימון הלם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הינו רימון היוצר נזק</w:t>
      </w:r>
      <w:r>
        <w:rPr>
          <w:rFonts w:cs="David" w:ascii="David" w:hAnsi="David"/>
          <w:b/>
          <w:bCs/>
          <w:sz w:val="22"/>
          <w:szCs w:val="22"/>
          <w:rtl w:val="true"/>
        </w:rPr>
        <w:t>" (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7124/06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דרורי נ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פסקאות </w:t>
      </w:r>
      <w:r>
        <w:rPr>
          <w:rFonts w:cs="David" w:ascii="David" w:hAnsi="David"/>
          <w:b/>
          <w:bCs/>
          <w:sz w:val="22"/>
          <w:szCs w:val="22"/>
        </w:rPr>
        <w:t>10-9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(</w:t>
      </w:r>
      <w:r>
        <w:rPr>
          <w:rFonts w:cs="David" w:ascii="David" w:hAnsi="David"/>
          <w:b/>
          <w:bCs/>
          <w:sz w:val="22"/>
          <w:szCs w:val="22"/>
        </w:rPr>
        <w:t>9.5.2007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);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כמ כן ראו 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7386/13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עווד נ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 xml:space="preserve">מדינת ישראל </w:t>
      </w:r>
      <w:r>
        <w:rPr>
          <w:rFonts w:cs="David" w:ascii="David" w:hAnsi="David"/>
          <w:b/>
          <w:bCs/>
          <w:sz w:val="22"/>
          <w:szCs w:val="22"/>
          <w:rtl w:val="true"/>
        </w:rPr>
        <w:t>(</w:t>
      </w:r>
      <w:r>
        <w:rPr>
          <w:rFonts w:cs="David" w:ascii="David" w:hAnsi="David"/>
          <w:b/>
          <w:bCs/>
          <w:sz w:val="22"/>
          <w:szCs w:val="22"/>
        </w:rPr>
        <w:t>23.3.2013</w:t>
      </w:r>
      <w:r>
        <w:rPr>
          <w:rFonts w:cs="David" w:ascii="David" w:hAnsi="David"/>
          <w:b/>
          <w:bCs/>
          <w:sz w:val="22"/>
          <w:szCs w:val="22"/>
          <w:rtl w:val="true"/>
        </w:rPr>
        <w:t>)).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>'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r>
        <w:rPr>
          <w:rFonts w:eastAsia="David" w:cs="David" w:ascii="David" w:hAnsi="David"/>
          <w:b/>
          <w:bCs/>
        </w:rPr>
        <w:t>1332/04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חלקו של הנאשם התבטא בכך ש</w:t>
      </w:r>
      <w:r>
        <w:rPr>
          <w:rFonts w:ascii="David" w:hAnsi="David" w:eastAsia="Calibri"/>
          <w:rtl w:val="true"/>
        </w:rPr>
        <w:t>קיבל מאביחי רימון הלם והחזיק בו בביתו לבקשת אביחי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נענה בחיוב לבקשת אביחי להצטרף אליו לזרוק את הרימון לכיוון ביתו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במטרה להפחידו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באירוע מתוכנן שכן הנאשם ואביחי נסעו אל סמוך לביתו של המתלונן </w:t>
      </w:r>
      <w:r>
        <w:rPr>
          <w:rFonts w:ascii="David" w:hAnsi="David" w:eastAsia="Calibri"/>
          <w:rtl w:val="true"/>
        </w:rPr>
        <w:t xml:space="preserve"> שם אביחי </w:t>
      </w:r>
      <w:r>
        <w:rPr>
          <w:rFonts w:ascii="David" w:hAnsi="David" w:eastAsia="Calibri"/>
          <w:rtl w:val="true"/>
        </w:rPr>
        <w:t>הדריך א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ת</w:t>
      </w:r>
      <w:r>
        <w:rPr>
          <w:rFonts w:ascii="David" w:hAnsi="David" w:eastAsia="Calibri"/>
          <w:rtl w:val="true"/>
        </w:rPr>
        <w:t>ו כ</w:t>
      </w:r>
      <w:r>
        <w:rPr>
          <w:rFonts w:ascii="David" w:hAnsi="David" w:eastAsia="Calibri"/>
          <w:rtl w:val="true"/>
        </w:rPr>
        <w:t>יצד ליידות את הרימון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משם הם </w:t>
      </w:r>
      <w:r>
        <w:rPr>
          <w:rFonts w:ascii="David" w:hAnsi="David" w:eastAsia="Calibri"/>
          <w:rtl w:val="true"/>
        </w:rPr>
        <w:t>חזרו לביתו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נטלו את הרימון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ונסעו בחזרה לביתו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שהם נושאים ומובילים את הרימון ברכ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עלו על טרקטורון חשמלי השייך לאביחי</w:t>
      </w:r>
      <w:r>
        <w:rPr>
          <w:rFonts w:ascii="David" w:hAnsi="David" w:eastAsia="Calibri"/>
          <w:rtl w:val="true"/>
        </w:rPr>
        <w:t xml:space="preserve"> כאשר הנאשם </w:t>
      </w:r>
      <w:r>
        <w:rPr>
          <w:rFonts w:ascii="David" w:hAnsi="David" w:eastAsia="Calibri"/>
          <w:rtl w:val="true"/>
        </w:rPr>
        <w:t>ישוב</w:t>
      </w:r>
      <w:r>
        <w:rPr>
          <w:rFonts w:ascii="David" w:hAnsi="David" w:eastAsia="Calibri"/>
          <w:rtl w:val="true"/>
        </w:rPr>
        <w:t xml:space="preserve"> מאחוריו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ותוך </w:t>
      </w:r>
      <w:r>
        <w:rPr>
          <w:rFonts w:ascii="David" w:hAnsi="David" w:eastAsia="Calibri"/>
          <w:rtl w:val="true"/>
        </w:rPr>
        <w:t xml:space="preserve">כדי נסיעה הנאשם השליך את הרימון לכיוון החצר </w:t>
      </w:r>
      <w:r>
        <w:rPr>
          <w:rFonts w:ascii="David" w:hAnsi="David" w:eastAsia="Calibri"/>
          <w:rtl w:val="true"/>
        </w:rPr>
        <w:t>וה</w:t>
      </w:r>
      <w:r>
        <w:rPr>
          <w:rFonts w:ascii="David" w:hAnsi="David" w:eastAsia="Calibri"/>
          <w:rtl w:val="true"/>
        </w:rPr>
        <w:t xml:space="preserve">כניסה </w:t>
      </w:r>
      <w:r>
        <w:rPr>
          <w:rFonts w:ascii="David" w:hAnsi="David" w:eastAsia="Calibri"/>
          <w:rtl w:val="true"/>
        </w:rPr>
        <w:t xml:space="preserve">לבית </w:t>
      </w:r>
      <w:r>
        <w:rPr>
          <w:rFonts w:ascii="David" w:hAnsi="David" w:eastAsia="Calibri"/>
          <w:rtl w:val="true"/>
        </w:rPr>
        <w:t xml:space="preserve"> המתלונן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כתוצאה ממעשיו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הרימון התפוצץ וגרם לקול רעש עז ולעשן רב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ושניהם נמלטו מהמקום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העבירה בוצעה </w:t>
      </w:r>
      <w:r>
        <w:rPr>
          <w:rFonts w:ascii="David" w:hAnsi="David" w:eastAsia="Calibri"/>
          <w:rtl w:val="true"/>
        </w:rPr>
        <w:t>מתוך מניע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וחלקו של הנאשם היה משמעותי בהתחשב בעובדה שהחזיק ברימון בביתו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ובהמשך נשא אותו על גופו והטילו לעבר ביתו של המתלונן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נסיבה לחומרה </w:t>
      </w:r>
      <w:r>
        <w:rPr>
          <w:rFonts w:ascii="David" w:hAnsi="David" w:eastAsia="Calibri"/>
          <w:rtl w:val="true"/>
        </w:rPr>
        <w:t>הינה העובדה שבזמן השלכת הרימון המתלונן ואשתו</w:t>
      </w:r>
      <w:r>
        <w:rPr>
          <w:rFonts w:ascii="David" w:hAnsi="David" w:eastAsia="Calibri"/>
          <w:rtl w:val="true"/>
        </w:rPr>
        <w:t xml:space="preserve"> נכחו בבית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הנאשם הבין את הפסול במעשיו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ויכול היה להימנע מביצוע העביר</w:t>
      </w:r>
      <w:r>
        <w:rPr>
          <w:rFonts w:ascii="David" w:hAnsi="David" w:eastAsia="David"/>
          <w:rtl w:val="true"/>
        </w:rPr>
        <w:t xml:space="preserve">ה והוא לא </w:t>
      </w:r>
      <w:r>
        <w:rPr>
          <w:rFonts w:ascii="David" w:hAnsi="David" w:eastAsia="David"/>
          <w:rtl w:val="true"/>
        </w:rPr>
        <w:t>עשה כן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זאת גם לאחר שאביחי ביצע עמו מעין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תרגול על יבש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בסמוך לביתו של המתלונן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אמנם הרימון לא גרם לנזק כלשהו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בוודאי שנטע פחד רב בליבם של המתלונן ואשתו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והאירוע הפר את שלוות חייהם מאותו הרגע ואילך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הנסיבות אותן ניתן לסווג כנסיבות מקלות יחסית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כוללות את  העובדה שהרימון התפוצץ מחוץ לביתו של המתלונן ולא גרם לנזק גוף או רכוש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בהקשר זה יצוין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מלכתחילה הרימון נזרק מחוץ לבית כאשר המתלונן בתוך הבית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כך שלא הייתה במעשה כוונה לגרימת נזק פיזי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ומטרתו הייתה להפחיד את המתלונן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בהקשר זה אפנה גם לעובדות כתב האישום שם צוין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מדובר בנשק שיכול להזיק לאדם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קרי לא נשק שפגיעתו קטלנית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ובכך הוא נבדל באופן משמעותי מרימון רסס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ובהתאם גם חומרת הפגיעה בערכים המוגנים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בנוסף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אין חולק כי יוזם המעשים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הרוח החיה שמאחורי ביצועם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 שמסר את רימון ההלם לנאשם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המתכנן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המדריך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המוביל ובעל המניע הינו אביחי אשר ניצל את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שנגרר אחריו וביצע את המעשים מתוך רצון לרצות את מי שהיווה עבורו דמות אב שכה חסרה לו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כי במקרה זה מידת הפגיעה בערכים המוגנים </w:t>
      </w:r>
      <w:r>
        <w:rPr>
          <w:rFonts w:ascii="David" w:hAnsi="David" w:eastAsia="David"/>
          <w:rtl w:val="true"/>
        </w:rPr>
        <w:t xml:space="preserve"> ביחס לנאשם </w:t>
      </w:r>
      <w:r>
        <w:rPr>
          <w:rFonts w:ascii="David" w:hAnsi="David" w:eastAsia="David"/>
          <w:rtl w:val="true"/>
        </w:rPr>
        <w:t>מצויה</w:t>
      </w:r>
      <w:r>
        <w:rPr>
          <w:rFonts w:ascii="David" w:hAnsi="David" w:eastAsia="David"/>
          <w:rtl w:val="true"/>
        </w:rPr>
        <w:t xml:space="preserve"> ברף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חומרה בינוני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  <w:sz w:val="22"/>
          <w:szCs w:val="22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חסן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ש העליון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נקבע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הסכנה הנשקפת לציבור כתוצאה מעבירות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לצד הממדים שאליהם הגיעו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ולהחמיר את עונשי המאסר המוטלים בגין פעילות עבריינית זאת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בהדרגה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 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hyperlink r:id="rId30"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sz w:val="22"/>
            <w:szCs w:val="22"/>
            <w:u w:val="single"/>
          </w:rPr>
          <w:t>2918/13</w:t>
        </w:r>
      </w:hyperlink>
      <w:r>
        <w:rPr>
          <w:rFonts w:eastAsia="David"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2"/>
          <w:u w:val="single"/>
          <w:rtl w:val="true"/>
        </w:rPr>
        <w:t>דבס נ</w:t>
      </w:r>
      <w:r>
        <w:rPr>
          <w:rFonts w:eastAsia="David" w:cs="David" w:ascii="David" w:hAnsi="David"/>
          <w:b/>
          <w:bCs/>
          <w:spacing w:val="10"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2"/>
          <w:u w:val="single"/>
          <w:rtl w:val="true"/>
        </w:rPr>
        <w:t>מדינת ישראל</w:t>
      </w:r>
      <w:r>
        <w:rPr>
          <w:rFonts w:ascii="David" w:hAnsi="David" w:eastAsia="David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spacing w:val="10"/>
          <w:sz w:val="22"/>
          <w:szCs w:val="22"/>
          <w:rtl w:val="true"/>
        </w:rPr>
        <w:t>(</w:t>
      </w:r>
      <w:r>
        <w:rPr>
          <w:rFonts w:ascii="David" w:hAnsi="David" w:eastAsia="David"/>
          <w:spacing w:val="10"/>
          <w:sz w:val="22"/>
          <w:sz w:val="22"/>
          <w:szCs w:val="22"/>
          <w:rtl w:val="true"/>
        </w:rPr>
        <w:t>בימ</w:t>
      </w:r>
      <w:r>
        <w:rPr>
          <w:rFonts w:eastAsia="David" w:cs="David" w:ascii="David" w:hAnsi="David"/>
          <w:spacing w:val="10"/>
          <w:sz w:val="22"/>
          <w:szCs w:val="22"/>
          <w:rtl w:val="true"/>
        </w:rPr>
        <w:t>"</w:t>
      </w:r>
      <w:r>
        <w:rPr>
          <w:rFonts w:ascii="David" w:hAnsi="David" w:eastAsia="David"/>
          <w:spacing w:val="10"/>
          <w:sz w:val="22"/>
          <w:sz w:val="22"/>
          <w:szCs w:val="22"/>
          <w:rtl w:val="true"/>
        </w:rPr>
        <w:t>ש העליון</w:t>
      </w:r>
      <w:r>
        <w:rPr>
          <w:rFonts w:eastAsia="David" w:cs="David" w:ascii="David" w:hAnsi="David"/>
          <w:spacing w:val="10"/>
          <w:sz w:val="22"/>
          <w:szCs w:val="22"/>
          <w:rtl w:val="true"/>
        </w:rPr>
        <w:t xml:space="preserve">) </w:t>
      </w:r>
      <w:r>
        <w:rPr>
          <w:rFonts w:ascii="David" w:hAnsi="David" w:eastAsia="David"/>
          <w:spacing w:val="10"/>
          <w:sz w:val="22"/>
          <w:sz w:val="22"/>
          <w:szCs w:val="22"/>
          <w:rtl w:val="true"/>
        </w:rPr>
        <w:t xml:space="preserve">נקבע  כי </w:t>
      </w:r>
      <w:r>
        <w:rPr>
          <w:rFonts w:eastAsia="David" w:cs="David" w:ascii="David" w:hAnsi="David"/>
          <w:spacing w:val="10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2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eastAsia="David"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2"/>
          <w:rtl w:val="true"/>
        </w:rPr>
        <w:t>מחייבת מתן ביטוי עונשי הולם שירתיע באופן ממשי מהחזקת נשק בכלל ומשימוש בו בפרט</w:t>
      </w:r>
      <w:r>
        <w:rPr>
          <w:rFonts w:eastAsia="David" w:cs="David" w:ascii="David" w:hAnsi="David"/>
          <w:b/>
          <w:bCs/>
          <w:spacing w:val="10"/>
          <w:sz w:val="22"/>
          <w:szCs w:val="22"/>
          <w:rtl w:val="true"/>
        </w:rPr>
        <w:t>"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</w:p>
    <w:p>
      <w:pPr>
        <w:pStyle w:val="Normal"/>
        <w:spacing w:lineRule="atLeast" w:line="360" w:before="0" w:after="0"/>
        <w:ind w:start="720" w:end="0"/>
        <w:contextualSpacing/>
        <w:jc w:val="both"/>
        <w:rPr/>
      </w:pPr>
      <w:r>
        <w:rPr>
          <w:rFonts w:ascii="David" w:hAnsi="David"/>
          <w:color w:val="000000"/>
          <w:rtl w:val="true"/>
        </w:rPr>
        <w:t xml:space="preserve">לסוג הנשק </w:t>
      </w:r>
      <w:r>
        <w:rPr>
          <w:rFonts w:ascii="David" w:hAnsi="David"/>
          <w:color w:val="000000"/>
          <w:rtl w:val="true"/>
        </w:rPr>
        <w:t xml:space="preserve">קיימת </w:t>
      </w:r>
      <w:r>
        <w:rPr>
          <w:rFonts w:ascii="David" w:hAnsi="David"/>
          <w:color w:val="000000"/>
          <w:rtl w:val="true"/>
        </w:rPr>
        <w:t xml:space="preserve"> נפקות </w:t>
      </w:r>
      <w:r>
        <w:rPr>
          <w:rFonts w:ascii="David" w:hAnsi="David"/>
          <w:color w:val="000000"/>
          <w:rtl w:val="true"/>
        </w:rPr>
        <w:t>בק</w:t>
      </w:r>
      <w:r>
        <w:rPr>
          <w:rFonts w:ascii="David" w:hAnsi="David"/>
          <w:color w:val="000000"/>
          <w:rtl w:val="true"/>
        </w:rPr>
        <w:t>ביעת 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בהקשר זה </w:t>
      </w:r>
      <w:r>
        <w:rPr>
          <w:rFonts w:ascii="David" w:hAnsi="David"/>
          <w:color w:val="000000"/>
          <w:rtl w:val="true"/>
        </w:rPr>
        <w:t xml:space="preserve">ראה 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cs="David" w:ascii="David" w:hAnsi="David"/>
          <w:b/>
          <w:bCs/>
          <w:rtl w:val="true"/>
        </w:rPr>
        <w:t xml:space="preserve"> ‏</w:t>
      </w:r>
      <w:r>
        <w:rPr>
          <w:rFonts w:ascii="David" w:hAnsi="David"/>
          <w:b/>
          <w:b/>
          <w:bCs/>
          <w:u w:val="single"/>
          <w:rtl w:val="true"/>
        </w:rPr>
        <w:t>חסן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 התייחסו אמנם לעבירת סחר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יפים גם לעניינו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המערערים צדקו בטענתם כי היה על בית המשפט המחוזי לבסס את מתחם העונש ההולם בעניינם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בין השאר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על סוג וכמות הנשק שבו סחרו – רימון הלם אחד 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(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וכך נעשה בפועל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כפי שיבואר להלן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).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מתחם העונש ההולם בעבירות המבוצעות בנשק  צריך שיקבע בהתאם לסוג הנשק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 שבו מדובר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שהרי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סוג הנשק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כמו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גם ההיקף שבו נסחר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הוחזק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הובל וכיוצא באלה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ברי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כי סחר בעשרות מטעני חבלה המכילים עשרות קילוגרמים של חומר נפץ אינו שקול מבחינה עונשית</w:t>
      </w: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גמולית לסחר ברימון הלם בודד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למעשה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אין כל חידוש בקביעה כי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קיים מדרג ענישה בעבירות המבוצעות בנשק</w:t>
      </w: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הנקבע</w:t>
      </w: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בין השאר</w:t>
      </w: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u w:val="single"/>
          <w:rtl w:val="true"/>
        </w:rPr>
        <w:t>פי סוג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איכות וכמות הנשק שנעשה בו שימוש</w:t>
      </w:r>
      <w:r>
        <w:rPr>
          <w:rFonts w:cs="David" w:ascii="David" w:hAnsi="David"/>
          <w:color w:val="000000"/>
          <w:sz w:val="22"/>
          <w:szCs w:val="22"/>
          <w:rtl w:val="true"/>
        </w:rPr>
        <w:t>...".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color w:val="000000"/>
          <w:sz w:val="12"/>
          <w:szCs w:val="12"/>
        </w:rPr>
      </w:pPr>
      <w:r>
        <w:rPr>
          <w:rFonts w:eastAsia="Calibri" w:cs="David" w:ascii="David" w:hAnsi="David"/>
          <w:color w:val="000000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tLeast" w:line="360" w:before="0" w:after="1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2482/22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קדורה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בעבירה של החזקת נשק – אקדח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לאקדח ורימון הלם –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והחמיר את עונשו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2933/19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צדיק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נשיאה והובלת נשק ומעשה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 שנסע למסעדה כשהוא נושא עמו 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שחרר את נצרת הרימון והשליכו לעבר מדרכה הסמוכה למסעדה – שם התפוצץ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העונש ההולם 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8845/15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מנסור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נשיאה והובלת נשק ומעשה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שהנאשם השליך רימון הלם לעבר בית והרימון נפל והתפוצץ במרחק קצר משני בני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שנגרם 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מתחם עונש הולם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8916/11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זרעיני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לפציעה בנסיבות מחמירות והפרעה לשוטר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שזרק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רקע סכסוך משפחות רימון הלם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סנוור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לעבר קבוצת אנשים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חרף תסקיר שבא בהמלצה שיקומית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38883-05-22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סרקיה</w:t>
      </w:r>
      <w:r>
        <w:rPr>
          <w:rFonts w:ascii="David" w:hAnsi="David"/>
          <w:rtl w:val="true"/>
        </w:rPr>
        <w:t xml:space="preserve">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בעבירות של קשירת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והובלת 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הוגש נגד שלושה 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על רקע סכסוך עם המתלונן קשרו קשר להשליך רימון הלם על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 עמו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בהגיע הנאשמים סמוך לבית המתלונן השליך אחד מהם את הרימון בחצר 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והשלושה נמלטו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צעיר לוחם ביחידה מובחרת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לשעבר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ביצע את העבירות בתיק הנוכחי בעת שקיים לחובתו מאסר על תנאי מתיק אחר 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7133-07-20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רוזן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ומעשה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שנשא ברכבו יחד עם אחר רימון הלם בכוונה להשליכו לעבר ביתו של בן זוגה לשעבר של זוגתו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 השליך את הרימון לעבר גדר הבית והרימון התפוצץ בעוצמה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ברכבו של הנאשם אותר אקדח הזנקה שהוסב לירי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כולל הנע בין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12761-11-15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וקנין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בחומר נפיץ 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סכסוך עם המתלוננים הגיע הנאשם לביתם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ניתק את החשמל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ובעודו ממתין סמוך לביתם פנה לחבריו על מנת שיבואו למקום עם אלות ומסכות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הצטייד ברימון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את הרימון לעבר חלון בית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הרימון ניפץ את החלון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והתפוצץ בתוך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שנע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22765-09-19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מטרי</w:t>
      </w:r>
      <w:r>
        <w:rPr>
          <w:rFonts w:ascii="David" w:hAnsi="David"/>
          <w:rtl w:val="true"/>
        </w:rPr>
        <w:t xml:space="preserve"> הנאשם הורשע בעבירות של נשיאת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 פזיזות ורשלנות ואיומים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שהגיע ברכבו לכיוון ביתו של המתלונן כשהוא נושא 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 לביתו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האט את מהירות הנסיעה והשליך את הרימון לחצר ביתו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הרימון התפוצץ והנאשם נמלט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נערך הסכם סולחה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הנאשם צעיר עם עבר פלילי שכלל הרשעה אחת הוטלו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11134-01-19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אסדי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והדחה בחקירה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שהגיע לקרבת בית בו נערך חיפוש על ידי המשטרה כשהוא נושא 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והשליך את הרימון לעבר הבית כדי להפריע לחיפוש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שנמלט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לאחר שאם ייחקר במשטרה שלא יזכיר את שמו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13154-01-18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תיתי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הורשעו בעבירה של נשיאת נשק ועבירות נלוות בכך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השליך בשני מקרים רימון הלם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באחד המקרים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נשא עם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שהושלך על ידי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ענישה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והוטלו עליו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והוטלו עליו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</w:t>
      </w:r>
      <w:hyperlink r:id="rId4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31218-10-14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אסדי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בעבירה של החזקת נשק בכך שהגיע סמוך לביתו של המתלונן כאשר בידו רימון הלם והשליכו לעבר מרפסת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שנגרם קול נפץ עז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לא יוחסה השלכת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הנאשם הוטלו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המאשימה הפנתה למספר פסקי דין כאשר מתחמי הענישה נעים בין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והעונשים נעים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הפנה למספר פסקי 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כאשר מתחמי הענישה נעים בין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והעונשים נעים בין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בעבודות שירות ועד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hd w:fill="FFFFFF" w:val="clear"/>
        <w:overflowPunct w:val="false"/>
        <w:autoSpaceDE w:val="false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 xml:space="preserve">העונש המרבי הקבוע בחוק ביחס לעבירה של החזקת נשק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והעונש הקבוע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צד עבירת נשיאה והובלת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המינימום הקבוע בחוק שאינו יכול להיות כולו על תנאי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עונשי המינימום הקבועים בחוק חלים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בתיקון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אני ער לעובדה שבעניינו של אביחי נקבע מתחם עונש הולם שנע בין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כאמור חלקו היה משמעותי יותר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זאת חרף העובדה שמי שיידה את הרימון היה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אמנם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בחלק מגזרי הדין שהובאו  נקבעו מתחמי ענישה נמוכים שניתן לרצותם בעבודות שרות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לטעמי המקרה הנדון בו בוצעה השלכה של רימון לבית בו המתלונן שהה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 קביעת מתחם עונש הולם גבוה יותר באופן משמעותי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זאת גם בהתחשב בנסיבות המקלות כפי שפורטו לעיל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252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לאחר ששקלתי את חומרת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 העבירות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 החברתיים עליהם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בהם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מתחם העונש ההולם צריך לכלול רכיב של מאסר בפועל שלא יפחת מ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ascii="David" w:hAnsi="David" w:eastAsia="David"/>
          <w:rtl w:val="true"/>
        </w:rPr>
        <w:t xml:space="preserve"> מאסר ולא יעלה על </w:t>
      </w:r>
      <w:r>
        <w:rPr>
          <w:rFonts w:eastAsia="David" w:cs="David" w:ascii="David" w:hAnsi="David"/>
        </w:rPr>
        <w:t>34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ההודאה בכתב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את </w:t>
      </w:r>
      <w:r>
        <w:rPr>
          <w:rFonts w:ascii="David" w:hAnsi="David" w:eastAsia="David"/>
          <w:rtl w:val="true"/>
        </w:rPr>
        <w:t xml:space="preserve">קבלת האחריות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הבעת החרטה</w:t>
      </w:r>
      <w:r>
        <w:rPr>
          <w:rFonts w:ascii="David" w:hAnsi="David" w:eastAsia="David"/>
          <w:rtl w:val="true"/>
        </w:rPr>
        <w:t xml:space="preserve"> הכנה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בהקשר זה אציין כי כנות החרטה והבושה שהנאשם חש ניכרו היטב בדבריו האחרונים אותם שלוו לא פעם בבכי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וכך גם התרשם שרות המבחן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כן יובאו בחשבון לקולה </w:t>
      </w:r>
      <w:r>
        <w:rPr>
          <w:rFonts w:ascii="David" w:hAnsi="David" w:eastAsia="David"/>
          <w:rtl w:val="true"/>
        </w:rPr>
        <w:t>גילו הצעיר של הנאש</w:t>
      </w:r>
      <w:r>
        <w:rPr>
          <w:rFonts w:ascii="David" w:hAnsi="David" w:eastAsia="David"/>
          <w:rtl w:val="true"/>
        </w:rPr>
        <w:t>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העובדה שהוא נעדר כל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נסיבותיו האישיות</w:t>
      </w:r>
      <w:r>
        <w:rPr>
          <w:rFonts w:ascii="David" w:hAnsi="David" w:eastAsia="David"/>
          <w:rtl w:val="true"/>
        </w:rPr>
        <w:t xml:space="preserve"> המורכבות</w:t>
      </w:r>
      <w:r>
        <w:rPr>
          <w:rFonts w:ascii="David" w:hAnsi="David" w:eastAsia="David"/>
          <w:rtl w:val="true"/>
        </w:rPr>
        <w:t xml:space="preserve"> כעולה מטיעוני ההגנה ומתסקיר שירות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תקופת המעצר </w:t>
      </w:r>
      <w:r>
        <w:rPr>
          <w:rFonts w:ascii="David" w:hAnsi="David" w:eastAsia="David"/>
          <w:rtl w:val="true"/>
        </w:rPr>
        <w:t xml:space="preserve">מאחורי סורג ובריח </w:t>
      </w:r>
      <w:r>
        <w:rPr>
          <w:rFonts w:ascii="David" w:hAnsi="David" w:eastAsia="David"/>
          <w:rtl w:val="true"/>
        </w:rPr>
        <w:t xml:space="preserve">בה הוא היה נתון </w:t>
      </w:r>
      <w:r>
        <w:rPr>
          <w:rFonts w:ascii="David" w:hAnsi="David" w:eastAsia="David"/>
          <w:rtl w:val="true"/>
        </w:rPr>
        <w:t xml:space="preserve"> יותר מחודשיים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>),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התקופה בה היה נתון במעצר באיזוק אלקטרוני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והתנאים המגבילים בהם הוא נתון עד היום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כן יינתן משקל רב להמלצות שרות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לתסקיר החיובי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לשיתוף הפעולה המלא של הנאשם עם שרות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ולסיכויי השיקום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גם אין להתעלם מה</w:t>
      </w:r>
      <w:r>
        <w:rPr>
          <w:rFonts w:ascii="David" w:hAnsi="David" w:eastAsia="David"/>
          <w:rtl w:val="true"/>
        </w:rPr>
        <w:t xml:space="preserve">השלכות </w:t>
      </w:r>
      <w:r>
        <w:rPr>
          <w:rFonts w:ascii="David" w:hAnsi="David" w:eastAsia="David"/>
          <w:rtl w:val="true"/>
        </w:rPr>
        <w:t>שעלולות להיות למאסר בפועל מאחורי סורג ובריח על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מאסר שיסכל את הליכי השיקום בהם הנאשם נתון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ולדרדרו  לעולם העברייני כפי הערכת שרות המבחן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4"/>
          <w:szCs w:val="4"/>
        </w:rPr>
      </w:pPr>
      <w:r>
        <w:rPr>
          <w:rFonts w:eastAsia="Calibri"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sz w:val="10"/>
          <w:szCs w:val="10"/>
          <w:rtl w:val="true"/>
        </w:rPr>
        <w:tab/>
      </w:r>
    </w:p>
    <w:p>
      <w:pPr>
        <w:pStyle w:val="Normal"/>
        <w:spacing w:lineRule="auto" w:line="360" w:before="0" w:after="160"/>
        <w:ind w:start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סטייה ממתחם העונש ההולם והענישה הראויה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בהתאם לסעיף </w:t>
      </w:r>
      <w:hyperlink r:id="rId43"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eastAsia="Calibri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Calibri"/>
            <w:rtl w:val="true"/>
          </w:rPr>
          <w:t>ד</w:t>
        </w:r>
        <w:r>
          <w:rPr>
            <w:rStyle w:val="Hyperlink"/>
            <w:rFonts w:eastAsia="Calibri" w:cs="David" w:ascii="David" w:hAnsi="David"/>
            <w:rtl w:val="true"/>
          </w:rPr>
          <w:t>.(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נתונה לבית המשפט הסמכות לסטות ממתחם העונש ההולם ולקבוע את עונשו של הנאשם לפי שיקולי 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להורות על נקיטת אמצעי שיקומו לרבות העמדתו במבחן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כמפורט בתסקירי שרות המבחן הנאשם עבר דרך משמעותית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וכיום הנאשם אשר נמצא מתאים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שולב בהצלחה בקבוצה טיפולית העושה בין היתר שימוש באמצעות פעילות בשטח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היעדר כל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בצד הנסיבות שהובילו לביצוע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מוטיבציית שיקום גבוהה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חרטה כנה ואמיתית בצד בושה גדולה מביצוע המעשה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ושיתוף הפעולה המלא עם שרות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מצביעים באופן ברור על סיכויי שיקום גבוהים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ייאמר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מועטים וחריגים המקרים בהם שרות המבחן ממליץ על ענישה שיקומית בעבירות נשק כפי המלצתו הנוכחית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עיון בפסיקה מלמד כי גם בתי משפט ממעטים לנקוט בדרך זו כאשר מדובר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עושים כן במקרים המתאימים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': </w:t>
      </w:r>
      <w:hyperlink r:id="rId4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4332/21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עאסלה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נתקבל ערעורו של נאשם אשר הורשע על יסוד הודייתו בהחזקת תת מקלע מאולתר מסוג קרלו ומחסנית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rtl w:val="true"/>
        </w:rPr>
        <w:t xml:space="preserve">מתחם ענישה הנע בין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נגזרו </w:t>
      </w:r>
      <w:r>
        <w:rPr>
          <w:rFonts w:ascii="David" w:hAnsi="David"/>
          <w:rtl w:val="true"/>
        </w:rPr>
        <w:t xml:space="preserve">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צעיר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שעברו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ושירות המבחן הגיש תסקיר חיובי בעניינו 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 המשפט העליון העמיד את עונשו על 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חריגה מהמתחם משיקולי שיקום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4945/13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סלימאן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נדחה ערעור המדינה על קלות העונש בעניינו של נאשם שהורשע לאחר שמיעת ראיות בעבירות של רכישה והחזקת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מעשה פזיזות ורשלנות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והסתייעות ברכב לביצוע פשע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בית המשפט המחוזי קבע מתחם ענישה הנע בין מאסר בפועל בעבודות שירות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 xml:space="preserve">השית על הנאשם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קיבל את הערעור במובן שקבע מתחם ענישה גבוה יותר ב</w:t>
      </w:r>
      <w:r>
        <w:rPr>
          <w:rFonts w:ascii="David" w:hAnsi="David"/>
          <w:rtl w:val="true"/>
        </w:rPr>
        <w:t xml:space="preserve">טווח שבין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דחה את ערעור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משמצא הצדקה לחרוג מהמתחם משיקולי שיקום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59812-02-16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בוזגלו</w:t>
      </w:r>
      <w:r>
        <w:rPr>
          <w:rFonts w:ascii="David" w:hAnsi="David"/>
          <w:rtl w:val="true"/>
        </w:rPr>
        <w:t xml:space="preserve"> הורשעה נאשמת בעבירות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מסירת ידיעות כוזבות על עבירת פשע ושיבוש מהלכי משפט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שהתמכרה לסמים מסוכנים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מכרה אקדח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שקיבלה לידיה במסגרת עבודתה כמאבטחת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העמיד את מתחם ענישה על טווח שבין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סטה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הנאשמת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בת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נעדרת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עברה תהליך שיקומי ארוך ומשמעותי שבמסגרתו נגמלה מסמים ומהימורים והחלה לנהל אורח חיים נורמטיבי 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 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במכלול הנסיבות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וחרף חומרת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סבור כי בעניינו של הנאשם נכון לעשות שימוש בסמכות הקבועה </w:t>
      </w:r>
      <w:hyperlink r:id="rId48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ד</w:t>
        </w:r>
        <w:r>
          <w:rPr>
            <w:rStyle w:val="Hyperlink"/>
            <w:rFonts w:eastAsia="Calibri" w:cs="David" w:ascii="David" w:hAnsi="David"/>
            <w:rtl w:val="true"/>
          </w:rPr>
          <w:t>.(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לסטות ממתחם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ולהורות על נקיטת אמצעי שיקום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  <w:sz w:val="22"/>
          <w:szCs w:val="22"/>
          <w:u w:val="single"/>
        </w:rPr>
      </w:pPr>
      <w:r>
        <w:rPr>
          <w:rFonts w:ascii="David" w:hAnsi="David" w:eastAsia="David"/>
          <w:rtl w:val="true"/>
        </w:rPr>
        <w:t xml:space="preserve">אשר להמלצת </w:t>
      </w:r>
      <w:r>
        <w:rPr>
          <w:rFonts w:ascii="David" w:hAnsi="David" w:eastAsia="David"/>
          <w:rtl w:val="true"/>
        </w:rPr>
        <w:t xml:space="preserve">שרות המבחן </w:t>
      </w:r>
      <w:r>
        <w:rPr>
          <w:rFonts w:ascii="David" w:hAnsi="David" w:eastAsia="David"/>
          <w:rtl w:val="true"/>
        </w:rPr>
        <w:t xml:space="preserve"> להטלת </w:t>
      </w:r>
      <w:r>
        <w:rPr>
          <w:rFonts w:ascii="David" w:hAnsi="David" w:eastAsia="David"/>
          <w:rtl w:val="true"/>
        </w:rPr>
        <w:t>צו שירות לתועלת הציבור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אני סבור </w:t>
      </w:r>
      <w:r>
        <w:rPr>
          <w:rFonts w:ascii="David" w:hAnsi="David" w:eastAsia="David"/>
          <w:rtl w:val="true"/>
        </w:rPr>
        <w:t>שלא ניתן במקרה זה להסתפק בצו שירות</w:t>
      </w:r>
      <w:r>
        <w:rPr>
          <w:rFonts w:ascii="David" w:hAnsi="David" w:eastAsia="David"/>
          <w:rtl w:val="true"/>
        </w:rPr>
        <w:t xml:space="preserve"> לתועלת הציבור כרכיב עונשי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זאת נוכח </w:t>
      </w:r>
      <w:r>
        <w:rPr>
          <w:rFonts w:ascii="David" w:hAnsi="David" w:eastAsia="David"/>
          <w:rtl w:val="true"/>
        </w:rPr>
        <w:t xml:space="preserve">חומרת העבירה ונסיבות ביצועה </w:t>
      </w:r>
      <w:r>
        <w:rPr>
          <w:rFonts w:ascii="David" w:hAnsi="David" w:eastAsia="David"/>
          <w:rtl w:val="true"/>
        </w:rPr>
        <w:t xml:space="preserve"> המחייבים הטלת</w:t>
      </w:r>
      <w:r>
        <w:rPr>
          <w:rFonts w:ascii="David" w:hAnsi="David" w:eastAsia="David"/>
          <w:rtl w:val="true"/>
        </w:rPr>
        <w:t xml:space="preserve"> רכיב של מאסר בפועל</w:t>
      </w:r>
      <w:r>
        <w:rPr>
          <w:rFonts w:eastAsia="David" w:cs="David" w:ascii="David" w:hAnsi="David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המלצת שירות המבחן אינה מחייבת את בית המשפט ושיקול הדעת הסופי לעניין העונש נתון לבית המשפט </w:t>
      </w:r>
      <w:r>
        <w:rPr>
          <w:rFonts w:ascii="Calibri" w:hAnsi="Calibri" w:eastAsia="Calibri" w:cs="Calibri"/>
          <w:rtl w:val="true"/>
        </w:rPr>
        <w:t xml:space="preserve">שנקודת השקפתו רחבה יותר ובוחנת שיקולים נוספים מעבר לשיקולי השיקום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בהקשר זה </w:t>
      </w:r>
      <w:hyperlink r:id="rId50">
        <w:r>
          <w:rPr>
            <w:rStyle w:val="Hyperlink"/>
            <w:rFonts w:ascii="Century" w:hAnsi="Century" w:cs="Century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/>
            <w:bCs/>
            <w:color w:val="0000FF"/>
            <w:sz w:val="22"/>
            <w:szCs w:val="22"/>
            <w:u w:val="single"/>
          </w:rPr>
          <w:t>6960/09</w:t>
        </w:r>
      </w:hyperlink>
      <w:r>
        <w:rPr>
          <w:rFonts w:cs="Century" w:ascii="Century" w:hAnsi="Century"/>
          <w:b/>
          <w:bCs/>
          <w:sz w:val="22"/>
          <w:szCs w:val="22"/>
          <w:rtl w:val="true"/>
        </w:rPr>
        <w:t xml:space="preserve"> </w:t>
      </w:r>
      <w:r>
        <w:rPr>
          <w:rFonts w:ascii="Century" w:hAnsi="Century" w:cs="Century"/>
          <w:b/>
          <w:b/>
          <w:bCs/>
          <w:sz w:val="22"/>
          <w:sz w:val="22"/>
          <w:szCs w:val="22"/>
          <w:u w:val="single"/>
          <w:rtl w:val="true"/>
        </w:rPr>
        <w:t>שגיב נ</w:t>
      </w:r>
      <w:r>
        <w:rPr>
          <w:rFonts w:cs="Century" w:ascii="Century" w:hAnsi="Century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Century" w:hAnsi="Century" w:cs="Century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ascii="Century" w:hAnsi="Century" w:cs="Century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בימ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העליון</w:t>
      </w:r>
      <w:r>
        <w:rPr>
          <w:b/>
          <w:bCs/>
          <w:sz w:val="22"/>
          <w:szCs w:val="22"/>
          <w:rtl w:val="true"/>
        </w:rPr>
        <w:t>),</w:t>
      </w:r>
      <w:r>
        <w:rPr>
          <w:rFonts w:eastAsia="Calibri" w:cs="Calibri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rtl w:val="true"/>
        </w:rPr>
        <w:t>ו</w:t>
      </w:r>
      <w:hyperlink r:id="rId51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sz w:val="22"/>
            <w:szCs w:val="22"/>
            <w:u w:val="single"/>
          </w:rPr>
          <w:t>2015/13</w:t>
        </w:r>
      </w:hyperlink>
      <w:r>
        <w:rPr>
          <w:rFonts w:eastAsia="Calibri" w:cs="Calibri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>פלוני נ</w:t>
      </w:r>
      <w:r>
        <w:rPr>
          <w:rFonts w:eastAsia="Calibri" w:cs="Calibri" w:ascii="Calibri" w:hAnsi="Calibri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eastAsia="Calibri" w:cs="Calibri" w:ascii="Calibri" w:hAnsi="Calibri"/>
          <w:b/>
          <w:bCs/>
          <w:sz w:val="22"/>
          <w:szCs w:val="22"/>
          <w:rtl w:val="true"/>
        </w:rPr>
        <w:t xml:space="preserve">). </w:t>
      </w:r>
      <w:r>
        <w:rPr>
          <w:b/>
          <w:bCs/>
          <w:sz w:val="22"/>
          <w:szCs w:val="22"/>
          <w:u w:val="single"/>
          <w:rtl w:val="true"/>
        </w:rPr>
        <w:t xml:space="preserve">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2"/>
          <w:szCs w:val="2"/>
          <w:u w:val="single"/>
        </w:rPr>
      </w:pPr>
      <w:r>
        <w:rPr>
          <w:rFonts w:eastAsia="David" w:cs="David" w:ascii="David" w:hAnsi="David"/>
          <w:sz w:val="2"/>
          <w:szCs w:val="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בכל הנוגע לאופן ריצוי עונש המאסר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הטלת מאסר מאחורי סורג ובריח כפי עתירת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תקטע את הליכי השיקום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תוריד לטמיון את מאמצי הנאשם וגורמי השיקום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ועלולה בסבירות גבוהה לדרדר את הנאשם לאורך חיים עברייני</w:t>
      </w:r>
      <w:r>
        <w:rPr>
          <w:rFonts w:eastAsia="David"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כך גם יש לזכור כי הנאשם היה עצור מאחורי סורג ובריח לתקופה לא מבוטלת של יותר מחודשיים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תקופה שלא תנוכה מעונש המאסר בעבודות שרות שיוטל עליו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ובהמשך היה עצור בפיקוח אלקטרוני תקופה של כארבעה חודשים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ועד היום נתון בתנאים מגבילים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בתקופות משמעותיות ובעלות משקל לא מבוטל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"/>
          <w:szCs w:val="2"/>
          <w:u w:val="single"/>
        </w:rPr>
      </w:pPr>
      <w:r>
        <w:rPr>
          <w:sz w:val="2"/>
          <w:szCs w:val="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sz w:val="22"/>
          <w:szCs w:val="22"/>
          <w:u w:val="single"/>
        </w:rPr>
      </w:pPr>
      <w:r>
        <w:rPr>
          <w:rFonts w:ascii="David" w:hAnsi="David" w:eastAsia="Calibri"/>
          <w:rtl w:val="true"/>
        </w:rPr>
        <w:t>יוער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rtl w:val="true"/>
        </w:rPr>
        <w:t xml:space="preserve">הבאתי </w:t>
      </w:r>
      <w:r>
        <w:rPr>
          <w:rFonts w:ascii="David" w:hAnsi="David" w:eastAsia="Calibri"/>
          <w:rtl w:val="true"/>
        </w:rPr>
        <w:t xml:space="preserve">בחשבון גם את גזר דינו של </w:t>
      </w:r>
      <w:r>
        <w:rPr>
          <w:rFonts w:ascii="David" w:hAnsi="David" w:eastAsia="Calibri"/>
          <w:rtl w:val="true"/>
        </w:rPr>
        <w:t xml:space="preserve">שותפו לביצוע העבירות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אביחי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שם נקבע מתחם עונש בין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נדון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cs="David" w:ascii="David" w:hAnsi="David"/>
          <w:spacing w:val="10"/>
          <w:rtl w:val="true"/>
        </w:rPr>
        <w:t>.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כידוע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עקרון אחידות הענישה הוא עקרון יסוד בשיטתנו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ואחת מנגזרותיו היא החובה להבטיח יחס הולם בין עונשיהם של המעורבים השונים באותה פרשה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כך שמדרג הענישה ישקף את חלקם היחסי של כל אחד מהמעורבים בה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(</w:t>
      </w:r>
      <w:hyperlink r:id="rId52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</w:rPr>
          <w:t>8172/21</w:t>
        </w:r>
      </w:hyperlink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חג</w:t>
      </w:r>
      <w:r>
        <w:rPr>
          <w:rFonts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אזי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2"/>
          <w:szCs w:val="22"/>
        </w:rPr>
        <w:t>18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cs="David" w:ascii="David" w:hAnsi="David"/>
          <w:b/>
          <w:bCs/>
          <w:sz w:val="22"/>
          <w:szCs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]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(</w:t>
      </w:r>
      <w:r>
        <w:rPr>
          <w:rFonts w:cs="David" w:ascii="David" w:hAnsi="David"/>
          <w:b/>
          <w:bCs/>
          <w:spacing w:val="10"/>
          <w:sz w:val="22"/>
          <w:szCs w:val="22"/>
        </w:rPr>
        <w:t>15.5.2022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); </w:t>
      </w:r>
      <w:hyperlink r:id="rId53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</w:rPr>
          <w:t>4536/21</w:t>
        </w:r>
      </w:hyperlink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פרץ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2"/>
          <w:szCs w:val="22"/>
        </w:rPr>
        <w:t>15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cs="David" w:ascii="David" w:hAnsi="David"/>
          <w:b/>
          <w:bCs/>
          <w:sz w:val="22"/>
          <w:szCs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]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(</w:t>
      </w:r>
      <w:r>
        <w:rPr>
          <w:rFonts w:cs="David" w:ascii="David" w:hAnsi="David"/>
          <w:b/>
          <w:bCs/>
          <w:spacing w:val="10"/>
          <w:sz w:val="22"/>
          <w:szCs w:val="22"/>
        </w:rPr>
        <w:t>4.11.2021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)).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יישומה של חובה זו משתנה מטבעם של דברים ממקרה למקרה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ועל בית המשפט לשקול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בין היתר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את חומרת המעשים שביצע כל אחד מן הנאשמים ביחס לאחרים בשים לב לנסיבותיו האישיות של כל נאשם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(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>עניין עשור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2"/>
          <w:szCs w:val="22"/>
        </w:rPr>
        <w:t>20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)." (</w:t>
      </w:r>
      <w:hyperlink r:id="rId54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2"/>
            <w:szCs w:val="22"/>
            <w:u w:val="single"/>
          </w:rPr>
          <w:t>4762/22</w:t>
        </w:r>
      </w:hyperlink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כנפו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2"/>
          <w:szCs w:val="22"/>
        </w:rPr>
        <w:t>22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cs="David" w:ascii="David" w:hAnsi="David"/>
          <w:b/>
          <w:bCs/>
          <w:sz w:val="22"/>
          <w:szCs w:val="22"/>
          <w:rtl w:val="true"/>
        </w:rPr>
        <w:t>[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] 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(</w:t>
      </w:r>
      <w:r>
        <w:rPr>
          <w:rFonts w:cs="David" w:ascii="David" w:hAnsi="David"/>
          <w:b/>
          <w:bCs/>
          <w:spacing w:val="10"/>
          <w:sz w:val="22"/>
          <w:szCs w:val="22"/>
        </w:rPr>
        <w:t>15.08.2023</w:t>
      </w:r>
      <w:r>
        <w:rPr>
          <w:rFonts w:cs="David" w:ascii="David" w:hAnsi="David"/>
          <w:b/>
          <w:bCs/>
          <w:spacing w:val="10"/>
          <w:sz w:val="22"/>
          <w:szCs w:val="22"/>
          <w:rtl w:val="true"/>
        </w:rPr>
        <w:t>)).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  <w:sz w:val="16"/>
          <w:szCs w:val="16"/>
          <w:u w:val="single"/>
        </w:rPr>
      </w:pPr>
      <w:r>
        <w:rPr>
          <w:rFonts w:eastAsia="David" w:cs="David" w:ascii="David" w:hAnsi="David"/>
          <w:sz w:val="16"/>
          <w:szCs w:val="16"/>
          <w:u w:val="single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כאמור השותף היה הרוח החיה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היוזם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המתכנן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המוביל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בעל המניע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 שהביא את הרימון ובמידה רבה הפעיל את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ובהתאם גם העונש שהוטל עליו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לציין כי עניינו של אביחי לא הובא בפני שרות המבחן ולא היה בפני בית המשפט כל נתון הנוגע לסיכויי שיקומו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ומדובר במי שלחובתו עבר פלילי משמעותי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הגם שהתיישן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"/>
          <w:szCs w:val="2"/>
          <w:u w:val="single"/>
        </w:rPr>
      </w:pPr>
      <w:r>
        <w:rPr>
          <w:rFonts w:eastAsia="David" w:cs="David" w:ascii="David" w:hAnsi="David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בנוסף לצו המבחן עליו המליץ שרות המבחן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יוטל פיצוי לטובת המתלוננים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יובהר כי מדובר בפיצוי עונשי שמטרתו הכרה סמלית בפגיעה שנגרמה למתלוננים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אשר לגובה הקנס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בהתחשב בגובה הפיצוי שיוטל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ומצבו הכלכלי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יוטל קנס נמוך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44"/>
          <w:szCs w:val="44"/>
        </w:rPr>
      </w:pPr>
      <w:r>
        <w:rPr>
          <w:rFonts w:ascii="David" w:hAnsi="David"/>
          <w:b/>
          <w:b/>
          <w:bCs/>
          <w:rtl w:val="true"/>
        </w:rPr>
        <w:t xml:space="preserve">אני גוזר על הנאשם 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אותם ירצה בעבודות שרות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פתחון לב כרמיאל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רח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לבונה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אזור תעשיה כרמיאל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בשבוע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ללא ניכוי תקופת מעצרו בתיק זה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0"/>
          <w:szCs w:val="10"/>
        </w:rPr>
      </w:pPr>
      <w:r>
        <w:rPr>
          <w:rFonts w:eastAsia="David"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44"/>
          <w:szCs w:val="44"/>
        </w:rPr>
      </w:pPr>
      <w:r>
        <w:rPr>
          <w:rFonts w:ascii="David" w:hAnsi="David"/>
          <w:b/>
          <w:b/>
          <w:bCs/>
          <w:rtl w:val="true"/>
        </w:rPr>
        <w:t xml:space="preserve">הנאשם יתייצב לתחילת ריצוי עונש המאסר בתאריך </w:t>
      </w:r>
      <w:r>
        <w:rPr>
          <w:rFonts w:cs="David" w:ascii="David" w:hAnsi="David"/>
          <w:b/>
          <w:bCs/>
        </w:rPr>
        <w:t>05.02.24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בשעה </w:t>
      </w:r>
      <w:r>
        <w:rPr>
          <w:rFonts w:cs="David" w:ascii="David" w:hAnsi="David"/>
          <w:b/>
          <w:bCs/>
        </w:rPr>
        <w:t>08:00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אצל הממונה על עבודות השרות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מובהר לנאשם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במידה שלא יבצע את עבודות השירות בהתאם לדרישות הממונה או שתתקיים אחת הנסיבות המפורטות בסעיף </w:t>
      </w:r>
      <w:r>
        <w:rPr>
          <w:rFonts w:cs="David" w:ascii="David" w:hAnsi="David"/>
          <w:b/>
          <w:bCs/>
        </w:rPr>
        <w:t>51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</w:t>
      </w:r>
      <w:r>
        <w:rPr>
          <w:rFonts w:cs="David" w:ascii="David" w:hAnsi="David"/>
          <w:b/>
          <w:bCs/>
          <w:rtl w:val="true"/>
        </w:rPr>
        <w:t>.(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תופסקנה עבודות השירות והנאשם ירצה את יתרת עונש המאסר בבית הכלא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9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פשע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עבירת נשק מסוג </w:t>
      </w:r>
      <w:r>
        <w:rPr>
          <w:rFonts w:ascii="David" w:hAnsi="David" w:eastAsia="David"/>
          <w:b/>
          <w:b/>
          <w:bCs/>
          <w:rtl w:val="true"/>
        </w:rPr>
        <w:t xml:space="preserve">עוון </w:t>
      </w:r>
      <w:r>
        <w:rPr>
          <w:rFonts w:ascii="David" w:hAnsi="David" w:eastAsia="David"/>
          <w:b/>
          <w:b/>
          <w:bCs/>
          <w:rtl w:val="true"/>
        </w:rPr>
        <w:t>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</w:rPr>
      </w:pPr>
      <w:r>
        <w:rPr>
          <w:rFonts w:eastAsia="David"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>הנאשם ישלם ל</w:t>
      </w:r>
      <w:r>
        <w:rPr>
          <w:rFonts w:ascii="David" w:hAnsi="David" w:eastAsia="David"/>
          <w:b/>
          <w:b/>
          <w:bCs/>
          <w:rtl w:val="true"/>
        </w:rPr>
        <w:t xml:space="preserve">כל אחד מקורבנות העבירה </w:t>
      </w:r>
      <w:r>
        <w:rPr>
          <w:rFonts w:ascii="David" w:hAnsi="David" w:eastAsia="David"/>
          <w:b/>
          <w:b/>
          <w:bCs/>
          <w:rtl w:val="true"/>
        </w:rPr>
        <w:t>מר יוסף מזור וגב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לימור מזור פיצוי כספי</w:t>
      </w:r>
      <w:r>
        <w:rPr>
          <w:rFonts w:ascii="David" w:hAnsi="David" w:eastAsia="David"/>
          <w:b/>
          <w:b/>
          <w:bCs/>
          <w:rtl w:val="true"/>
        </w:rPr>
        <w:t xml:space="preserve"> בסך </w:t>
      </w:r>
      <w:r>
        <w:rPr>
          <w:rFonts w:eastAsia="David" w:cs="David" w:ascii="David" w:hAnsi="David"/>
          <w:b/>
          <w:bCs/>
        </w:rPr>
        <w:t>5,000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₪</w:t>
      </w:r>
      <w:r>
        <w:rPr>
          <w:rFonts w:eastAsia="David" w:cs="David" w:ascii="David" w:hAnsi="David"/>
          <w:b/>
          <w:bCs/>
          <w:rtl w:val="true"/>
        </w:rPr>
        <w:t xml:space="preserve"> (</w:t>
      </w:r>
      <w:r>
        <w:rPr>
          <w:rFonts w:ascii="David" w:hAnsi="David" w:eastAsia="David"/>
          <w:b/>
          <w:b/>
          <w:bCs/>
          <w:rtl w:val="true"/>
        </w:rPr>
        <w:t>סה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כ </w:t>
      </w:r>
      <w:r>
        <w:rPr>
          <w:rFonts w:eastAsia="David" w:cs="David" w:ascii="David" w:hAnsi="David"/>
          <w:b/>
          <w:bCs/>
        </w:rPr>
        <w:t>10,000</w:t>
      </w:r>
      <w:r>
        <w:rPr>
          <w:rFonts w:eastAsia="David" w:cs="David" w:ascii="David" w:hAnsi="David"/>
          <w:b/>
          <w:bCs/>
          <w:rtl w:val="true"/>
        </w:rPr>
        <w:t xml:space="preserve"> ₪).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  <w:sz w:val="14"/>
          <w:szCs w:val="14"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firstLine="60" w:start="675" w:end="0"/>
        <w:jc w:val="both"/>
        <w:rPr/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מוסבר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>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</w:t>
      </w:r>
      <w:r>
        <w:rPr>
          <w:b/>
          <w:b/>
          <w:bCs/>
          <w:rtl w:val="true"/>
        </w:rPr>
        <w:t>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. 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>אני גוזר על הנאשם קנס כספי בסך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</w:rPr>
        <w:t>2,000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 xml:space="preserve">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eastAsia="David" w:cs="David" w:ascii="David" w:hAnsi="David"/>
          <w:b/>
          <w:bCs/>
        </w:rPr>
        <w:t>20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הקנס </w:t>
      </w:r>
      <w:r>
        <w:rPr>
          <w:rFonts w:ascii="David" w:hAnsi="David" w:eastAsia="David"/>
          <w:b/>
          <w:b/>
          <w:bCs/>
          <w:rtl w:val="true"/>
        </w:rPr>
        <w:t xml:space="preserve">והפיצוי </w:t>
      </w:r>
      <w:r>
        <w:rPr>
          <w:rFonts w:ascii="David" w:hAnsi="David" w:eastAsia="David"/>
          <w:b/>
          <w:b/>
          <w:bCs/>
          <w:rtl w:val="true"/>
        </w:rPr>
        <w:t>שהוטל</w:t>
      </w:r>
      <w:r>
        <w:rPr>
          <w:rFonts w:ascii="David" w:hAnsi="David" w:eastAsia="David"/>
          <w:b/>
          <w:b/>
          <w:bCs/>
          <w:rtl w:val="true"/>
        </w:rPr>
        <w:t>ו</w:t>
      </w:r>
      <w:r>
        <w:rPr>
          <w:rFonts w:ascii="David" w:hAnsi="David" w:eastAsia="David"/>
          <w:b/>
          <w:b/>
          <w:bCs/>
          <w:rtl w:val="true"/>
        </w:rPr>
        <w:t xml:space="preserve"> על הנאשם  ישול</w:t>
      </w:r>
      <w:r>
        <w:rPr>
          <w:rFonts w:ascii="David" w:hAnsi="David" w:eastAsia="David"/>
          <w:b/>
          <w:b/>
          <w:bCs/>
          <w:rtl w:val="true"/>
        </w:rPr>
        <w:t>מו</w:t>
      </w:r>
      <w:r>
        <w:rPr>
          <w:rFonts w:ascii="David" w:hAnsi="David" w:eastAsia="David"/>
          <w:b/>
          <w:b/>
          <w:bCs/>
          <w:rtl w:val="true"/>
        </w:rPr>
        <w:t xml:space="preserve"> עד ליום </w:t>
      </w:r>
      <w:r>
        <w:rPr>
          <w:rFonts w:eastAsia="David" w:cs="David" w:ascii="David" w:hAnsi="David"/>
          <w:b/>
          <w:bCs/>
        </w:rPr>
        <w:t>1.9.24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תשומת לב הנאשם שיש לשלם את הקנס והפיצוי 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>:</w:t>
      </w: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55">
        <w:r>
          <w:rPr>
            <w:rStyle w:val="Hyperlink"/>
            <w:rFonts w:eastAsia="David" w:cs="David" w:ascii="David" w:hAnsi="David"/>
            <w:color w:val="0563C1"/>
            <w:u w:val="single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>".</w:t>
      </w: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>).</w:t>
      </w: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המאשימה מתבקשת לעדכן את קורבנות העבירה בתוכן גזר הדין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/>
        <w:ind w:start="720" w:end="0"/>
        <w:jc w:val="both"/>
        <w:rPr/>
      </w:pPr>
      <w:r>
        <w:rPr>
          <w:rFonts w:ascii="David" w:hAnsi="David" w:eastAsia="David"/>
          <w:rtl w:val="true"/>
        </w:rPr>
        <w:t>עותק מגזר הדין יועבר לשירות המבחן</w:t>
      </w:r>
      <w:r>
        <w:rPr>
          <w:rFonts w:ascii="David" w:hAnsi="David" w:eastAsia="David"/>
          <w:rtl w:val="true"/>
        </w:rPr>
        <w:t xml:space="preserve"> למבוגרים</w:t>
      </w:r>
      <w:r>
        <w:rPr>
          <w:rFonts w:ascii="David" w:hAnsi="David" w:eastAsia="David"/>
          <w:rtl w:val="true"/>
        </w:rPr>
        <w:t xml:space="preserve"> ולממונה על עבודות השרות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16779-09-22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ליאור אלבז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.a." TargetMode="External"/><Relationship Id="rId5" Type="http://schemas.openxmlformats.org/officeDocument/2006/relationships/hyperlink" Target="http://www.nevo.co.il/law/70301/40.if" TargetMode="External"/><Relationship Id="rId6" Type="http://schemas.openxmlformats.org/officeDocument/2006/relationships/hyperlink" Target="http://www.nevo.co.il/law/70301/40a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fCa(1)S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fCa(1)S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.a.;40.if" TargetMode="External"/><Relationship Id="rId19" Type="http://schemas.openxmlformats.org/officeDocument/2006/relationships/hyperlink" Target="http://www.nevo.co.il/law/70301/40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7894608" TargetMode="External"/><Relationship Id="rId22" Type="http://schemas.openxmlformats.org/officeDocument/2006/relationships/hyperlink" Target="http://www.nevo.co.il/case/2815213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601503" TargetMode="External"/><Relationship Id="rId25" Type="http://schemas.openxmlformats.org/officeDocument/2006/relationships/hyperlink" Target="http://www.nevo.co.il/case/6034921" TargetMode="External"/><Relationship Id="rId26" Type="http://schemas.openxmlformats.org/officeDocument/2006/relationships/hyperlink" Target="http://www.nevo.co.il/case/26913995" TargetMode="External"/><Relationship Id="rId27" Type="http://schemas.openxmlformats.org/officeDocument/2006/relationships/hyperlink" Target="http://www.nevo.co.il/case/5865581" TargetMode="External"/><Relationship Id="rId28" Type="http://schemas.openxmlformats.org/officeDocument/2006/relationships/hyperlink" Target="http://www.nevo.co.il/case/10443017" TargetMode="External"/><Relationship Id="rId29" Type="http://schemas.openxmlformats.org/officeDocument/2006/relationships/hyperlink" Target="http://www.nevo.co.il/case/6473037" TargetMode="External"/><Relationship Id="rId30" Type="http://schemas.openxmlformats.org/officeDocument/2006/relationships/hyperlink" Target="http://www.nevo.co.il/case/6950458" TargetMode="External"/><Relationship Id="rId31" Type="http://schemas.openxmlformats.org/officeDocument/2006/relationships/hyperlink" Target="http://www.nevo.co.il/case/6473037" TargetMode="External"/><Relationship Id="rId32" Type="http://schemas.openxmlformats.org/officeDocument/2006/relationships/hyperlink" Target="http://www.nevo.co.il/case/28513828" TargetMode="External"/><Relationship Id="rId33" Type="http://schemas.openxmlformats.org/officeDocument/2006/relationships/hyperlink" Target="http://www.nevo.co.il/case/25651836" TargetMode="External"/><Relationship Id="rId34" Type="http://schemas.openxmlformats.org/officeDocument/2006/relationships/hyperlink" Target="http://www.nevo.co.il/case/20817889" TargetMode="External"/><Relationship Id="rId35" Type="http://schemas.openxmlformats.org/officeDocument/2006/relationships/hyperlink" Target="http://www.nevo.co.il/case/5614680" TargetMode="External"/><Relationship Id="rId36" Type="http://schemas.openxmlformats.org/officeDocument/2006/relationships/hyperlink" Target="http://www.nevo.co.il/case/28616914" TargetMode="External"/><Relationship Id="rId37" Type="http://schemas.openxmlformats.org/officeDocument/2006/relationships/hyperlink" Target="http://www.nevo.co.il/case/26815828" TargetMode="External"/><Relationship Id="rId38" Type="http://schemas.openxmlformats.org/officeDocument/2006/relationships/hyperlink" Target="http://www.nevo.co.il/case/20705476" TargetMode="External"/><Relationship Id="rId39" Type="http://schemas.openxmlformats.org/officeDocument/2006/relationships/hyperlink" Target="http://www.nevo.co.il/case/26025031" TargetMode="External"/><Relationship Id="rId40" Type="http://schemas.openxmlformats.org/officeDocument/2006/relationships/hyperlink" Target="http://www.nevo.co.il/case/25292360" TargetMode="External"/><Relationship Id="rId41" Type="http://schemas.openxmlformats.org/officeDocument/2006/relationships/hyperlink" Target="http://www.nevo.co.il/case/23526032" TargetMode="External"/><Relationship Id="rId42" Type="http://schemas.openxmlformats.org/officeDocument/2006/relationships/hyperlink" Target="http://www.nevo.co.il/case/18105668" TargetMode="External"/><Relationship Id="rId43" Type="http://schemas.openxmlformats.org/officeDocument/2006/relationships/hyperlink" Target="http://www.nevo.co.il/law/70301/40d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7721185" TargetMode="External"/><Relationship Id="rId46" Type="http://schemas.openxmlformats.org/officeDocument/2006/relationships/hyperlink" Target="http://www.nevo.co.il/case/7791493" TargetMode="External"/><Relationship Id="rId47" Type="http://schemas.openxmlformats.org/officeDocument/2006/relationships/hyperlink" Target="http://www.nevo.co.il/case/20998872" TargetMode="External"/><Relationship Id="rId48" Type="http://schemas.openxmlformats.org/officeDocument/2006/relationships/hyperlink" Target="http://www.nevo.co.il/law/70301/40d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6091686" TargetMode="External"/><Relationship Id="rId51" Type="http://schemas.openxmlformats.org/officeDocument/2006/relationships/hyperlink" Target="http://www.nevo.co.il/case/10442453" TargetMode="External"/><Relationship Id="rId52" Type="http://schemas.openxmlformats.org/officeDocument/2006/relationships/hyperlink" Target="http://www.nevo.co.il/case/28142541" TargetMode="External"/><Relationship Id="rId53" Type="http://schemas.openxmlformats.org/officeDocument/2006/relationships/hyperlink" Target="http://www.nevo.co.il/case/27742715" TargetMode="External"/><Relationship Id="rId54" Type="http://schemas.openxmlformats.org/officeDocument/2006/relationships/hyperlink" Target="http://www.nevo.co.il/case/28774350" TargetMode="External"/><Relationship Id="rId55" Type="http://schemas.openxmlformats.org/officeDocument/2006/relationships/hyperlink" Target="http://www.eca.gov.il/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2024-01-28T13:13:00Z</dcterms:created>
  <dc:creator> </dc:creator>
  <dc:description/>
  <cp:keywords/>
  <dc:language>en-IL</dc:language>
  <cp:lastModifiedBy>h3</cp:lastModifiedBy>
  <dcterms:modified xsi:type="dcterms:W3CDTF">2024-01-28T13:13:00Z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ליאור אלבז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ProcID=133;209&amp;PartA=1530&amp;PartC=04</vt:lpwstr>
  </property>
  <property fmtid="{D5CDD505-2E9C-101B-9397-08002B2CF9AE}" pid="9" name="CASESLISTTMP1">
    <vt:lpwstr>27894608;28152132;5601503;6034921;26913995;5865581;10443017;6473037:2;6950458;28513828;25651836;20817889;5614680;28616914;26815828;20705476;26025031;25292360;23526032;18105668;27721185;7791493;20998872;6091686;10442453;28142541;27742715;28774350</vt:lpwstr>
  </property>
  <property fmtid="{D5CDD505-2E9C-101B-9397-08002B2CF9AE}" pid="10" name="CITY">
    <vt:lpwstr>חי'</vt:lpwstr>
  </property>
  <property fmtid="{D5CDD505-2E9C-101B-9397-08002B2CF9AE}" pid="11" name="DATE">
    <vt:lpwstr>20240125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גיל קרזבום</vt:lpwstr>
  </property>
  <property fmtid="{D5CDD505-2E9C-101B-9397-08002B2CF9AE}" pid="15" name="LAWLISTTMP1">
    <vt:lpwstr>70301/144.a;144.b;029;fCa(1)S;040.a;040.if;040a;040d.a:2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16779</vt:lpwstr>
  </property>
  <property fmtid="{D5CDD505-2E9C-101B-9397-08002B2CF9AE}" pid="23" name="NEWPARTB">
    <vt:lpwstr>09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390020240125</vt:lpwstr>
  </property>
  <property fmtid="{D5CDD505-2E9C-101B-9397-08002B2CF9AE}" pid="35" name="TYPE_N_DATE">
    <vt:lpwstr>39020240125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