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96"/>
        <w:gridCol w:w="3706"/>
      </w:tblGrid>
      <w:tr>
        <w:trPr>
          <w:trHeight w:val="418" w:hRule="exact"/>
        </w:trPr>
        <w:tc>
          <w:tcPr>
            <w:tcW w:w="8802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9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1691-09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0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Lawyer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פיקר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כרים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רחים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העונשין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25.5.09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(</w:t>
      </w:r>
      <w:hyperlink r:id="rId15">
        <w:r>
          <w:rPr>
            <w:rStyle w:val="Hyperlink"/>
            <w:rFonts w:cs="FrankRuehl"/>
            <w:rtl w:val="true"/>
          </w:rPr>
          <w:t>רע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דאחל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(</w:t>
      </w:r>
      <w:hyperlink r:id="rId16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אבוסנינה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(</w:t>
      </w:r>
      <w:hyperlink r:id="rId17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קאדר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נ</w:t>
      </w:r>
      <w:r>
        <w:rPr>
          <w:rFonts w:cs="FrankRuehl"/>
          <w:u w:val="single"/>
          <w:rtl w:val="true"/>
        </w:rPr>
        <w:t xml:space="preserve">' </w:t>
      </w:r>
      <w:r>
        <w:rPr>
          <w:rFonts w:cs="FrankRuehl"/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FrankRuehl"/>
          <w:u w:val="single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2005</w:t>
      </w:r>
      <w:r>
        <w:rPr>
          <w:rFonts w:cs="FrankRuehl"/>
          <w:rtl w:val="true"/>
        </w:rPr>
        <w:t>))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עוואודה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 (</w:t>
      </w:r>
      <w:r>
        <w:rPr/>
        <w:t>30.12.09</w:t>
      </w:r>
      <w:r>
        <w:rPr>
          <w:rtl w:val="true"/>
        </w:rPr>
        <w:t>))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17.5.09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בכור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: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12.1.10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18.1.10</w:t>
      </w:r>
      <w:r>
        <w:rPr>
          <w:rtl w:val="true"/>
        </w:rPr>
        <w:t xml:space="preserve">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מע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7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FrankRuehl"/>
          <w:rtl w:val="true"/>
        </w:rPr>
        <w:t>"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מעכבת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 xml:space="preserve">... </w:t>
      </w:r>
      <w:r>
        <w:rPr>
          <w:rFonts w:cs="FrankRuehl"/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-</w:t>
      </w:r>
      <w:r>
        <w:rPr>
          <w:rFonts w:cs="FrankRuehl"/>
        </w:rPr>
        <w:t>45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יום</w:t>
      </w:r>
      <w:r>
        <w:rPr>
          <w:rFonts w:cs="FrankRuehl"/>
          <w:rtl w:val="true"/>
        </w:rPr>
        <w:t>..."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המאסר</w:t>
      </w:r>
      <w:r>
        <w:rPr>
          <w:rFonts w:cs="FrankRuehl"/>
          <w:rtl w:val="true"/>
        </w:rPr>
        <w:t xml:space="preserve">; </w:t>
      </w:r>
      <w:r>
        <w:rPr>
          <w:rFonts w:cs="FrankRuehl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שאסיר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ל</w:t>
      </w:r>
      <w:hyperlink r:id="rId24">
        <w:r>
          <w:rPr>
            <w:rStyle w:val="Hyperlink"/>
            <w:rFonts w:cs="FrankRuehl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[</w:t>
      </w:r>
      <w:r>
        <w:rPr>
          <w:rFonts w:cs="FrankRuehl"/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משולב</w:t>
      </w:r>
      <w:r>
        <w:rPr>
          <w:rFonts w:cs="FrankRuehl"/>
          <w:color w:val="000000"/>
          <w:rtl w:val="true"/>
        </w:rPr>
        <w:t>]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התשמ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ב</w:t>
      </w:r>
      <w:r>
        <w:rPr>
          <w:rFonts w:cs="FrankRuehl"/>
          <w:rtl w:val="true"/>
        </w:rPr>
        <w:t>-</w:t>
      </w:r>
      <w:r>
        <w:rPr>
          <w:rFonts w:cs="FrankRuehl"/>
        </w:rPr>
        <w:t>1982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חופשה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</w:t>
      </w:r>
      <w:r>
        <w:rPr>
          <w:rFonts w:cs="FrankRuehl"/>
        </w:rPr>
        <w:t>1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</w:t>
      </w:r>
      <w:r>
        <w:rPr>
          <w:rFonts w:cs="FrankRuehl"/>
          <w:rtl w:val="true"/>
        </w:rPr>
        <w:t xml:space="preserve">', </w:t>
      </w:r>
      <w:r>
        <w:rPr>
          <w:rFonts w:cs="FrankRuehl"/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FrankRuehl"/>
          <w:rtl w:val="true"/>
        </w:rPr>
        <w:t xml:space="preserve">; </w:t>
      </w:r>
      <w:r>
        <w:rPr>
          <w:rFonts w:cs="FrankRuehl"/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אחרת</w:t>
      </w:r>
      <w:r>
        <w:rPr>
          <w:rFonts w:cs="FrankRuehl"/>
          <w:rtl w:val="true"/>
        </w:rPr>
        <w:t>."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תקוםפת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בכור</w:t>
      </w:r>
      <w:r>
        <w:rPr>
          <w:rtl w:val="true"/>
        </w:rPr>
        <w:t xml:space="preserve">) </w:t>
      </w:r>
      <w:r>
        <w:rPr>
          <w:rtl w:val="true"/>
        </w:rPr>
        <w:t>עיכב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במנוקלר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7510/00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במנוקלר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258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מיום</w:t>
      </w:r>
      <w:r>
        <w:rPr>
          <w:rtl w:val="true"/>
        </w:rPr>
        <w:t xml:space="preserve">".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המשורר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הפירוש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").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).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הפירוש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מהיום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במנוקלר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שבתמצית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סטטוטורית</w:t>
      </w:r>
      <w:r>
        <w:rPr>
          <w:rtl w:val="true"/>
        </w:rPr>
        <w:t xml:space="preserve">.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במנוקלר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במנוקלר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במנוקלר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הפירוש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הפירוש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2036/07</w:t>
        </w:r>
      </w:hyperlink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05" w:leader="none"/>
        </w:tabs>
        <w:spacing w:lineRule="auto" w:line="360"/>
        <w:ind w:hanging="352" w:start="397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25.5.09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39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39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54678313-1691/09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8"/>
      <w:footerReference w:type="default" r:id="rId49"/>
      <w:type w:val="nextPage"/>
      <w:pgSz w:w="11906" w:h="16838"/>
      <w:pgMar w:left="1620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/Users/liorb/Downloads/study2025-p2/SH-09-1691-204.doc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1691-09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כרים בן ע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רחים עאמר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454"/>
        </w:tabs>
        <w:ind w:start="397" w:hanging="227"/>
      </w:pPr>
      <w:rPr/>
    </w:lvl>
    <w:lvl w:ilvl="1">
      <w:start w:val="1"/>
      <w:numFmt w:val="decimal"/>
      <w:lvlText w:val="%1.%2."/>
      <w:lvlJc w:val="start"/>
      <w:pPr>
        <w:tabs>
          <w:tab w:val="num" w:pos="792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232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736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24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744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c" TargetMode="External"/><Relationship Id="rId4" Type="http://schemas.openxmlformats.org/officeDocument/2006/relationships/hyperlink" Target="http://www.nevo.co.il/law/70301/52.c" TargetMode="External"/><Relationship Id="rId5" Type="http://schemas.openxmlformats.org/officeDocument/2006/relationships/hyperlink" Target="http://www.nevo.co.il/law/70301/53.c" TargetMode="External"/><Relationship Id="rId6" Type="http://schemas.openxmlformats.org/officeDocument/2006/relationships/hyperlink" Target="http://www.nevo.co.il/law/70301/87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286049" TargetMode="External"/><Relationship Id="rId13" Type="http://schemas.openxmlformats.org/officeDocument/2006/relationships/hyperlink" Target="http://www.nevo.co.il/case/2286049" TargetMode="External"/><Relationship Id="rId14" Type="http://schemas.openxmlformats.org/officeDocument/2006/relationships/hyperlink" Target="http://www.nevo.co.il/case/2286049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5887827" TargetMode="External"/><Relationship Id="rId17" Type="http://schemas.openxmlformats.org/officeDocument/2006/relationships/hyperlink" Target="http://www.nevo.co.il/case/5859902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2286049" TargetMode="External"/><Relationship Id="rId21" Type="http://schemas.openxmlformats.org/officeDocument/2006/relationships/hyperlink" Target="http://www.nevo.co.il/case/2286049" TargetMode="External"/><Relationship Id="rId22" Type="http://schemas.openxmlformats.org/officeDocument/2006/relationships/hyperlink" Target="http://www.nevo.co.il/law/70301/52.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0301/52.c" TargetMode="External"/><Relationship Id="rId26" Type="http://schemas.openxmlformats.org/officeDocument/2006/relationships/hyperlink" Target="http://www.nevo.co.il/case/2286049" TargetMode="External"/><Relationship Id="rId27" Type="http://schemas.openxmlformats.org/officeDocument/2006/relationships/hyperlink" Target="http://www.nevo.co.il/law/70301/52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689137" TargetMode="External"/><Relationship Id="rId30" Type="http://schemas.openxmlformats.org/officeDocument/2006/relationships/hyperlink" Target="http://www.nevo.co.il/law/70301/52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286049" TargetMode="External"/><Relationship Id="rId33" Type="http://schemas.openxmlformats.org/officeDocument/2006/relationships/hyperlink" Target="http://www.nevo.co.il/case/2286049" TargetMode="External"/><Relationship Id="rId34" Type="http://schemas.openxmlformats.org/officeDocument/2006/relationships/hyperlink" Target="http://www.nevo.co.il/law/70301/45.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5.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8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286049" TargetMode="External"/><Relationship Id="rId41" Type="http://schemas.openxmlformats.org/officeDocument/2006/relationships/hyperlink" Target="http://www.nevo.co.il/case/2286049" TargetMode="External"/><Relationship Id="rId42" Type="http://schemas.openxmlformats.org/officeDocument/2006/relationships/hyperlink" Target="http://www.nevo.co.il/case/2286049" TargetMode="External"/><Relationship Id="rId43" Type="http://schemas.openxmlformats.org/officeDocument/2006/relationships/hyperlink" Target="http://www.nevo.co.il/law/70301/53.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5859902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2016-07-04T15:00:00Z</dcterms:created>
  <dc:creator> </dc:creator>
  <dc:description/>
  <cp:keywords/>
  <dc:language>en-IL</dc:language>
  <cp:lastModifiedBy>hofit</cp:lastModifiedBy>
  <dcterms:modified xsi:type="dcterms:W3CDTF">2016-07-04T15:00:00Z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כרים בן ע.רחים עאמר </vt:lpwstr>
  </property>
  <property fmtid="{D5CDD505-2E9C-101B-9397-08002B2CF9AE}" pid="4" name="CASENOTES1">
    <vt:lpwstr>ProcID=33&amp;PartA=נז&amp;PartC=41-27</vt:lpwstr>
  </property>
  <property fmtid="{D5CDD505-2E9C-101B-9397-08002B2CF9AE}" pid="5" name="CASENOTES10">
    <vt:lpwstr>ProcID=85&amp;PartA=481035&amp;PartC=99</vt:lpwstr>
  </property>
  <property fmtid="{D5CDD505-2E9C-101B-9397-08002B2CF9AE}" pid="6" name="CASENOTES11">
    <vt:lpwstr>ProcID=85&amp;PartA=43073&amp;PartB=01&amp;PartC=16</vt:lpwstr>
  </property>
  <property fmtid="{D5CDD505-2E9C-101B-9397-08002B2CF9AE}" pid="7" name="CASENOTES12">
    <vt:lpwstr>ProcID=184&amp;PartA=2832&amp;PartC=78</vt:lpwstr>
  </property>
  <property fmtid="{D5CDD505-2E9C-101B-9397-08002B2CF9AE}" pid="8" name="CASENOTES2">
    <vt:lpwstr>ProcID=33&amp;PartA=מא&amp;PartC=4-18</vt:lpwstr>
  </property>
  <property fmtid="{D5CDD505-2E9C-101B-9397-08002B2CF9AE}" pid="9" name="CASENOTES3">
    <vt:lpwstr>ProcID=33&amp;PartA=לא&amp;PartC=4-4</vt:lpwstr>
  </property>
  <property fmtid="{D5CDD505-2E9C-101B-9397-08002B2CF9AE}" pid="10" name="CASENOTES4">
    <vt:lpwstr>ProcID=33&amp;PartA=נז&amp;PartC=4-26</vt:lpwstr>
  </property>
  <property fmtid="{D5CDD505-2E9C-101B-9397-08002B2CF9AE}" pid="11" name="CASENOTES5">
    <vt:lpwstr>ProcID=33&amp;PartA=לא&amp;PartC=4-5</vt:lpwstr>
  </property>
  <property fmtid="{D5CDD505-2E9C-101B-9397-08002B2CF9AE}" pid="12" name="CASENOTES6">
    <vt:lpwstr>ProcID=33&amp;PartA=מח&amp;PartC=41-20</vt:lpwstr>
  </property>
  <property fmtid="{D5CDD505-2E9C-101B-9397-08002B2CF9AE}" pid="13" name="CASENOTES7">
    <vt:lpwstr>ProcID=128;85&amp;PartA=19&amp;PartC=99</vt:lpwstr>
  </property>
  <property fmtid="{D5CDD505-2E9C-101B-9397-08002B2CF9AE}" pid="14" name="CASENOTES8">
    <vt:lpwstr>ProcID=25;179&amp;PartA=678&amp;PartC=82</vt:lpwstr>
  </property>
  <property fmtid="{D5CDD505-2E9C-101B-9397-08002B2CF9AE}" pid="15" name="CASENOTES9">
    <vt:lpwstr>ProcID=85&amp;PartA=4077&amp;PartC=14</vt:lpwstr>
  </property>
  <property fmtid="{D5CDD505-2E9C-101B-9397-08002B2CF9AE}" pid="16" name="CASESLISTTMP1">
    <vt:lpwstr>2286049:11;5852404;5887827;5859902:2;5762686;6000182;5689137</vt:lpwstr>
  </property>
  <property fmtid="{D5CDD505-2E9C-101B-9397-08002B2CF9AE}" pid="17" name="CITY">
    <vt:lpwstr>כ"ס</vt:lpwstr>
  </property>
  <property fmtid="{D5CDD505-2E9C-101B-9397-08002B2CF9AE}" pid="18" name="DATE">
    <vt:lpwstr>20100203</vt:lpwstr>
  </property>
  <property fmtid="{D5CDD505-2E9C-101B-9397-08002B2CF9AE}" pid="19" name="DELEMATA">
    <vt:lpwstr/>
  </property>
  <property fmtid="{D5CDD505-2E9C-101B-9397-08002B2CF9AE}" pid="20" name="ISABSTRACT">
    <vt:lpwstr>Y</vt:lpwstr>
  </property>
  <property fmtid="{D5CDD505-2E9C-101B-9397-08002B2CF9AE}" pid="21" name="JUDGE">
    <vt:lpwstr>מיכאל קרשן</vt:lpwstr>
  </property>
  <property fmtid="{D5CDD505-2E9C-101B-9397-08002B2CF9AE}" pid="22" name="LAWLISTTMP1">
    <vt:lpwstr>70301/144.a;052.c:4;045.c:2;087;053.c;144</vt:lpwstr>
  </property>
  <property fmtid="{D5CDD505-2E9C-101B-9397-08002B2CF9AE}" pid="23" name="LAWLISTTMP2">
    <vt:lpwstr>74903</vt:lpwstr>
  </property>
  <property fmtid="{D5CDD505-2E9C-101B-9397-08002B2CF9AE}" pid="24" name="LAWYER">
    <vt:lpwstr>איריס פיקר;מוחמד עבד אל חי</vt:lpwstr>
  </property>
  <property fmtid="{D5CDD505-2E9C-101B-9397-08002B2CF9AE}" pid="25" name="LINKK1">
    <vt:lpwstr/>
  </property>
  <property fmtid="{D5CDD505-2E9C-101B-9397-08002B2CF9AE}" pid="26" name="LINKK10">
    <vt:lpwstr/>
  </property>
  <property fmtid="{D5CDD505-2E9C-101B-9397-08002B2CF9AE}" pid="27" name="LINKK11">
    <vt:lpwstr/>
  </property>
  <property fmtid="{D5CDD505-2E9C-101B-9397-08002B2CF9AE}" pid="28" name="LINKK12">
    <vt:lpwstr/>
  </property>
  <property fmtid="{D5CDD505-2E9C-101B-9397-08002B2CF9AE}" pid="29" name="LINKK2">
    <vt:lpwstr/>
  </property>
  <property fmtid="{D5CDD505-2E9C-101B-9397-08002B2CF9AE}" pid="30" name="LINKK3">
    <vt:lpwstr/>
  </property>
  <property fmtid="{D5CDD505-2E9C-101B-9397-08002B2CF9AE}" pid="31" name="LINKK4">
    <vt:lpwstr/>
  </property>
  <property fmtid="{D5CDD505-2E9C-101B-9397-08002B2CF9AE}" pid="32" name="LINKK5">
    <vt:lpwstr/>
  </property>
  <property fmtid="{D5CDD505-2E9C-101B-9397-08002B2CF9AE}" pid="33" name="LINKK6">
    <vt:lpwstr/>
  </property>
  <property fmtid="{D5CDD505-2E9C-101B-9397-08002B2CF9AE}" pid="34" name="LINKK7">
    <vt:lpwstr/>
  </property>
  <property fmtid="{D5CDD505-2E9C-101B-9397-08002B2CF9AE}" pid="35" name="LINKK8">
    <vt:lpwstr/>
  </property>
  <property fmtid="{D5CDD505-2E9C-101B-9397-08002B2CF9AE}" pid="36" name="LINKK9">
    <vt:lpwstr/>
  </property>
  <property fmtid="{D5CDD505-2E9C-101B-9397-08002B2CF9AE}" pid="37" name="NEWPARTA">
    <vt:lpwstr>1691</vt:lpwstr>
  </property>
  <property fmtid="{D5CDD505-2E9C-101B-9397-08002B2CF9AE}" pid="38" name="NEWPARTB">
    <vt:lpwstr/>
  </property>
  <property fmtid="{D5CDD505-2E9C-101B-9397-08002B2CF9AE}" pid="39" name="NEWPARTC">
    <vt:lpwstr>09</vt:lpwstr>
  </property>
  <property fmtid="{D5CDD505-2E9C-101B-9397-08002B2CF9AE}" pid="40" name="NEWPROC">
    <vt:lpwstr>תפ</vt:lpwstr>
  </property>
  <property fmtid="{D5CDD505-2E9C-101B-9397-08002B2CF9AE}" pid="41" name="PADIMAIL">
    <vt:lpwstr/>
  </property>
  <property fmtid="{D5CDD505-2E9C-101B-9397-08002B2CF9AE}" pid="42" name="PAGE">
    <vt:lpwstr/>
  </property>
  <property fmtid="{D5CDD505-2E9C-101B-9397-08002B2CF9AE}" pid="43" name="PART">
    <vt:lpwstr/>
  </property>
  <property fmtid="{D5CDD505-2E9C-101B-9397-08002B2CF9AE}" pid="44" name="PROCESS">
    <vt:lpwstr/>
  </property>
  <property fmtid="{D5CDD505-2E9C-101B-9397-08002B2CF9AE}" pid="45" name="PROCNUM">
    <vt:lpwstr>1691</vt:lpwstr>
  </property>
  <property fmtid="{D5CDD505-2E9C-101B-9397-08002B2CF9AE}" pid="46" name="PROCYEAR">
    <vt:lpwstr>09</vt:lpwstr>
  </property>
  <property fmtid="{D5CDD505-2E9C-101B-9397-08002B2CF9AE}" pid="47" name="PSAKDIN">
    <vt:lpwstr>גזר-דין</vt:lpwstr>
  </property>
  <property fmtid="{D5CDD505-2E9C-101B-9397-08002B2CF9AE}" pid="48" name="RemarkFileName">
    <vt:lpwstr>shalom sh 09 1691 204 htm</vt:lpwstr>
  </property>
  <property fmtid="{D5CDD505-2E9C-101B-9397-08002B2CF9AE}" pid="49" name="TYPE">
    <vt:lpwstr>3</vt:lpwstr>
  </property>
  <property fmtid="{D5CDD505-2E9C-101B-9397-08002B2CF9AE}" pid="50" name="TYPE_ABS_DATE">
    <vt:lpwstr>380020100203</vt:lpwstr>
  </property>
  <property fmtid="{D5CDD505-2E9C-101B-9397-08002B2CF9AE}" pid="51" name="TYPE_N_DATE">
    <vt:lpwstr>38020100203</vt:lpwstr>
  </property>
  <property fmtid="{D5CDD505-2E9C-101B-9397-08002B2CF9AE}" pid="52" name="VOLUME">
    <vt:lpwstr/>
  </property>
  <property fmtid="{D5CDD505-2E9C-101B-9397-08002B2CF9AE}" pid="53" name="WORDNUMPAGES">
    <vt:lpwstr>8</vt:lpwstr>
  </property>
</Properties>
</file>