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8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17030-02-22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מקיה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הנשיא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מינטקביץ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עופרי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מלצר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עלאא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מקיה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שאנן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355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רקע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בהחזקת נשק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בתקופה שקדמה ליום </w:t>
      </w:r>
      <w:r>
        <w:rPr>
          <w:rFonts w:cs="Arial" w:ascii="Arial" w:hAnsi="Arial"/>
        </w:rPr>
        <w:t>30.1.22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החזיק בביתו נשק מאולתר דמוי רובה </w:t>
      </w:r>
      <w:r>
        <w:rPr>
          <w:rFonts w:cs="Arial" w:ascii="Arial" w:hAnsi="Arial"/>
        </w:rPr>
        <w:t>16</w:t>
      </w:r>
      <w:r>
        <w:rPr>
          <w:rFonts w:cs="Arial" w:ascii="Arial" w:hAnsi="Arial"/>
          <w:sz w:val="20"/>
          <w:szCs w:val="20"/>
        </w:rPr>
        <w:t>M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הוסב לירי תחמושת 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מחסנית טעונה במספר כדורים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bookmarkStart w:id="9" w:name="ABSTRACT_END"/>
      <w:bookmarkEnd w:id="9"/>
      <w:r>
        <w:rPr>
          <w:rFonts w:ascii="Arial" w:hAnsi="Arial" w:cs="Arial"/>
          <w:rtl w:val="true"/>
        </w:rPr>
        <w:t>כמו כן צוין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ביום </w:t>
      </w:r>
      <w:r>
        <w:rPr>
          <w:rFonts w:cs="Arial" w:ascii="Arial" w:hAnsi="Arial"/>
        </w:rPr>
        <w:t>30.1.22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שוטרים לביתו של הנאשם לבצע חיפוש על פי צו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הנאשם סירב לפתוח להם את דלת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שניסו השוטרים להכנס לבית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נזרק הנשק אל מחוץ לחלון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יוחסה לנאשם עבירה בשל 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טענות הצדדים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הפנתה לחומרת המעשים ופגיעתם בערכים מוגנים</w:t>
      </w:r>
      <w:r>
        <w:rPr>
          <w:rFonts w:ascii="Arial" w:hAnsi="Arial" w:cs="Arial"/>
          <w:rtl w:val="true"/>
        </w:rPr>
        <w:t xml:space="preserve"> וכן לעונש המזערי שבצד העבירה</w:t>
      </w:r>
      <w:r>
        <w:rPr>
          <w:rFonts w:ascii="Arial" w:hAnsi="Arial" w:cs="Arial"/>
          <w:rtl w:val="true"/>
        </w:rPr>
        <w:t xml:space="preserve"> וביקשה לקבוע כי מתחם העונש ההולם</w:t>
      </w:r>
      <w:r>
        <w:rPr>
          <w:rFonts w:ascii="Arial" w:hAnsi="Arial" w:cs="Arial"/>
          <w:rtl w:val="true"/>
        </w:rPr>
        <w:t xml:space="preserve"> את המקרה</w:t>
      </w:r>
      <w:r>
        <w:rPr>
          <w:rFonts w:ascii="Arial" w:hAnsi="Arial" w:cs="Arial"/>
          <w:rtl w:val="true"/>
        </w:rPr>
        <w:t xml:space="preserve"> הוא מאסר לתקופה שבין שנתיים לארבע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לאור נסיבותיו של הנאשם </w:t>
      </w:r>
      <w:r>
        <w:rPr>
          <w:rFonts w:ascii="Arial" w:hAnsi="Arial" w:cs="Arial"/>
          <w:rtl w:val="true"/>
        </w:rPr>
        <w:t>ובהן עברו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ביקשה להשית עליו עונש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לכך שמדובר בנשק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סכנתו פחותה משל נשק תקני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ולכך שאין אינדיקציה שהנשק היה מוכן לשימוש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שניתן להטיל חלק מהעונש המזערי כמאסר מותנה ולכך שגם כאשר מעלים רמת ענישה בגין סוג של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לעשות כן באופן הדרגתי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אלה ביקש לקבוע כי מתחם העונש ההולם מתחיל בשנה מאסר ומסתיים בשנתיים או שלוש 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נסיבותיו האישיות של הנאשם הפנה לחלוף הזמן מאז מאסר קודם בו נשא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ולכך שהנאשם נשוי ואב לילדים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ולכך שזו הרשעתו הראשונה בעבירות דומות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אלה ביקש להטיל על הנאשם עונש בצידו התחתון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לפחות קרוב לכך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שני הצדדים הגישו פסיקה לתמיכה בטענותיהם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ראיות לעונש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הגישה את גליון הרשעותיו הקודמות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העיד את אשת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סיפרה כי הוא אב לשני ילדים קטנים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פעוטה בת שנתיים וחצי ותינוק בן עשרה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זקוקים לו ומתגעגעים אליו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מפרנס את המשפחה ודואג לצרכיה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אמרה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היא מתנגדת למעשיו של הנאשם וביקשה להקל בענשו ככל שניתן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Arial" w:hAnsi="Arial" w:cs="Arial"/>
          <w:rtl w:val="true"/>
        </w:rPr>
        <w:t>הנאשם אמר כי מתחרט על מעשיו</w:t>
      </w:r>
      <w:r>
        <w:rPr>
          <w:rFonts w:ascii="Arial" w:hAnsi="Arial" w:cs="Arial"/>
          <w:rtl w:val="true"/>
        </w:rPr>
        <w:t xml:space="preserve"> וביקש את סליחת בית המשפט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מתחם העונש ההולם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Fonts w:cs="Arial" w:ascii="Arial" w:hAnsi="Arial"/>
          <w:sz w:val="20"/>
          <w:szCs w:val="20"/>
        </w:rPr>
        <w:t>M16</w:t>
      </w:r>
      <w:r>
        <w:rPr>
          <w:rtl w:val="true"/>
        </w:rPr>
        <w:t xml:space="preserve">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ascii="Arial" w:hAnsi="Arial" w:cs="Arial"/>
          <w:rtl w:val="true"/>
        </w:rPr>
        <w:t>ע</w:t>
      </w:r>
      <w:r>
        <w:rPr>
          <w:rFonts w:ascii="Arial" w:hAnsi="Arial" w:cs="Arial"/>
          <w:rtl w:val="true"/>
        </w:rPr>
        <w:t>רך המוגן החשוב מכל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שהרי </w:t>
      </w:r>
      <w:r>
        <w:rPr>
          <w:rFonts w:ascii="Arial" w:hAnsi="Arial" w:cs="Arial"/>
          <w:rtl w:val="true"/>
        </w:rPr>
        <w:t xml:space="preserve">החזקת נשק מקפלת בתוכה סיכון ממשי כי </w:t>
      </w:r>
      <w:r>
        <w:rPr>
          <w:rFonts w:ascii="Arial" w:hAnsi="Arial" w:cs="Arial"/>
          <w:rtl w:val="true"/>
        </w:rPr>
        <w:t>יעשה בו שימוש</w:t>
      </w:r>
      <w:r>
        <w:rPr>
          <w:rFonts w:ascii="Arial" w:hAnsi="Arial" w:cs="Arial"/>
          <w:rtl w:val="true"/>
        </w:rPr>
        <w:t xml:space="preserve"> לביצוע עבירות פליליות או מעשי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יביא לקיפוח נפש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Arial" w:hAnsi="Arial" w:cs="Arial"/>
          <w:rtl w:val="true"/>
        </w:rPr>
        <w:t>באופן עקיף עבירה זו גם מהווה קריאת תיגר על שלטון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שהרי המדינה היא הריבון והיא שרשאית לקבוע מי ישא נשק ולאיזו מטרה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כעולה ממיקום העבירה בפרק </w:t>
      </w:r>
      <w:hyperlink r:id="rId7">
        <w:r>
          <w:rPr>
            <w:rStyle w:val="Hyperlink"/>
            <w:rFonts w:ascii="Arial" w:hAnsi="Arial" w:cs="Arial"/>
            <w:rtl w:val="true"/>
          </w:rPr>
          <w:t>ח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הדן בעבירות שעניינן 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פגיעה בסדרי </w:t>
      </w:r>
      <w:r>
        <w:rPr>
          <w:rtl w:val="true"/>
        </w:rPr>
        <w:t>המשטר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והחברה</w:t>
      </w:r>
      <w:r>
        <w:rPr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מבצעיהן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120"/>
        <w:ind w:hanging="0" w:start="0" w:end="0"/>
        <w:jc w:val="both"/>
        <w:rPr>
          <w:rFonts w:ascii="David" w:hAnsi="David" w:cs="David"/>
          <w:szCs w:val="24"/>
        </w:rPr>
      </w:pPr>
      <w:r>
        <w:rPr>
          <w:rFonts w:ascii="David" w:hAnsi="David" w:cs="David"/>
          <w:szCs w:val="24"/>
          <w:rtl w:val="true"/>
        </w:rPr>
        <w:t>ר</w:t>
      </w:r>
      <w:r>
        <w:rPr>
          <w:rFonts w:cs="David" w:ascii="David" w:hAnsi="David"/>
          <w:szCs w:val="24"/>
          <w:rtl w:val="true"/>
        </w:rPr>
        <w:t xml:space="preserve">' </w:t>
      </w:r>
      <w:r>
        <w:rPr>
          <w:rFonts w:ascii="David" w:hAnsi="David" w:cs="David"/>
          <w:szCs w:val="24"/>
          <w:rtl w:val="true"/>
        </w:rPr>
        <w:t xml:space="preserve">למשל </w:t>
      </w:r>
      <w:hyperlink r:id="rId9">
        <w:r>
          <w:rPr>
            <w:rStyle w:val="Hyperlink"/>
            <w:rFonts w:ascii="David" w:hAnsi="David" w:cs="David"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Cs w:val="24"/>
            <w:u w:val="single"/>
          </w:rPr>
          <w:t>309/22</w:t>
        </w:r>
      </w:hyperlink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 xml:space="preserve">ביאדסה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cs="David" w:ascii="David" w:hAnsi="David"/>
          <w:szCs w:val="24"/>
        </w:rPr>
        <w:t>10.5.22</w:t>
      </w:r>
      <w:r>
        <w:rPr>
          <w:rFonts w:cs="David" w:ascii="David" w:hAnsi="David"/>
          <w:szCs w:val="24"/>
          <w:rtl w:val="true"/>
        </w:rPr>
        <w:t>)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>אשר ניתן לפני ימים ספורים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>וענשו של מי שנשא שני כלי נשק הוחמר מ</w:t>
      </w:r>
      <w:r>
        <w:rPr>
          <w:rFonts w:cs="David" w:ascii="David" w:hAnsi="David"/>
          <w:szCs w:val="24"/>
          <w:rtl w:val="true"/>
        </w:rPr>
        <w:t xml:space="preserve">- </w:t>
      </w:r>
      <w:r>
        <w:rPr>
          <w:rFonts w:cs="David" w:ascii="David" w:hAnsi="David"/>
          <w:szCs w:val="24"/>
        </w:rPr>
        <w:t>19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>חודשי מאסר ל</w:t>
      </w:r>
      <w:r>
        <w:rPr>
          <w:rFonts w:cs="David" w:ascii="David" w:hAnsi="David"/>
          <w:szCs w:val="24"/>
          <w:rtl w:val="true"/>
        </w:rPr>
        <w:t xml:space="preserve">- </w:t>
      </w:r>
      <w:r>
        <w:rPr>
          <w:rFonts w:cs="David" w:ascii="David" w:hAnsi="David"/>
          <w:szCs w:val="24"/>
        </w:rPr>
        <w:t>30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>חודשים</w:t>
      </w:r>
      <w:r>
        <w:rPr>
          <w:rFonts w:ascii="David" w:hAnsi="David" w:cs="David"/>
          <w:szCs w:val="24"/>
          <w:rtl w:val="true"/>
        </w:rPr>
        <w:t xml:space="preserve">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ascii="David" w:hAnsi="David" w:cs="David"/>
          <w:szCs w:val="24"/>
          <w:rtl w:val="true"/>
        </w:rPr>
        <w:t xml:space="preserve">פסקאות </w:t>
      </w:r>
      <w:r>
        <w:rPr>
          <w:rFonts w:cs="David" w:ascii="David" w:hAnsi="David"/>
          <w:szCs w:val="24"/>
        </w:rPr>
        <w:t>6-7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>לפסק הדין</w:t>
      </w:r>
      <w:r>
        <w:rPr>
          <w:rFonts w:cs="David" w:ascii="David" w:hAnsi="David"/>
          <w:szCs w:val="24"/>
          <w:rtl w:val="true"/>
        </w:rPr>
        <w:t>)</w:t>
      </w:r>
      <w:r>
        <w:rPr>
          <w:rFonts w:cs="David" w:ascii="David" w:hAnsi="David"/>
          <w:szCs w:val="24"/>
          <w:rtl w:val="true"/>
        </w:rPr>
        <w:t>:</w:t>
      </w:r>
    </w:p>
    <w:p>
      <w:pPr>
        <w:pStyle w:val="Ruller41"/>
        <w:numPr>
          <w:ilvl w:val="0"/>
          <w:numId w:val="0"/>
        </w:numPr>
        <w:spacing w:before="0" w:after="120"/>
        <w:ind w:hanging="0" w:start="567" w:end="567"/>
        <w:jc w:val="both"/>
        <w:rPr>
          <w:rFonts w:ascii="David" w:hAnsi="David" w:cs="David"/>
          <w:b/>
          <w:bCs/>
          <w:szCs w:val="24"/>
        </w:rPr>
      </w:pPr>
      <w:r>
        <w:rPr>
          <w:rFonts w:ascii="David" w:hAnsi="David" w:cs="David"/>
          <w:b/>
          <w:b/>
          <w:bCs/>
          <w:szCs w:val="24"/>
          <w:rtl w:val="true"/>
        </w:rPr>
        <w:t>בשורה ארוכה של פסקי דין עמד בית משפט זה על החומרה הרבה הגלומה בעבירות הנשק</w:t>
      </w:r>
      <w:r>
        <w:rPr>
          <w:rFonts w:cs="David" w:ascii="David" w:hAnsi="David"/>
          <w:b/>
          <w:bCs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Cs w:val="24"/>
          <w:rtl w:val="true"/>
        </w:rPr>
        <w:t>ביסוד עבירות אלו עומדת פגיעה בחיי האדם ובשלמות גופו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כמו גם בביטחון הציבור ובסדר הציבורי בכללותו </w:t>
      </w:r>
      <w:r>
        <w:rPr>
          <w:rFonts w:cs="David" w:ascii="David" w:hAnsi="David"/>
          <w:b/>
          <w:bCs/>
          <w:szCs w:val="24"/>
          <w:rtl w:val="true"/>
        </w:rPr>
        <w:t>(</w:t>
      </w:r>
      <w:hyperlink r:id="rId10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1695/22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גנאים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11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29.3.2022</w:t>
      </w:r>
      <w:r>
        <w:rPr>
          <w:rFonts w:cs="David" w:ascii="David" w:hAnsi="David"/>
          <w:b/>
          <w:bCs/>
          <w:szCs w:val="24"/>
          <w:rtl w:val="true"/>
        </w:rPr>
        <w:t>) (</w:t>
      </w:r>
      <w:r>
        <w:rPr>
          <w:rFonts w:ascii="David" w:hAnsi="David" w:cs="David"/>
          <w:b/>
          <w:b/>
          <w:bCs/>
          <w:szCs w:val="24"/>
          <w:rtl w:val="true"/>
        </w:rPr>
        <w:t>להלן</w:t>
      </w:r>
      <w:r>
        <w:rPr>
          <w:rFonts w:cs="David" w:ascii="David" w:hAnsi="David"/>
          <w:b/>
          <w:bCs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גנאים</w:t>
      </w:r>
      <w:r>
        <w:rPr>
          <w:rFonts w:cs="David" w:ascii="David" w:hAnsi="David"/>
          <w:b/>
          <w:bCs/>
          <w:szCs w:val="24"/>
          <w:rtl w:val="true"/>
        </w:rPr>
        <w:t xml:space="preserve">); </w:t>
      </w:r>
      <w:hyperlink r:id="rId11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5522/20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חלייחל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7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24.2.2021</w:t>
      </w:r>
      <w:r>
        <w:rPr>
          <w:rFonts w:cs="David" w:ascii="David" w:hAnsi="David"/>
          <w:b/>
          <w:bCs/>
          <w:szCs w:val="24"/>
          <w:rtl w:val="true"/>
        </w:rPr>
        <w:t>) (</w:t>
      </w:r>
      <w:r>
        <w:rPr>
          <w:rFonts w:ascii="David" w:hAnsi="David" w:cs="David"/>
          <w:b/>
          <w:b/>
          <w:bCs/>
          <w:szCs w:val="24"/>
          <w:rtl w:val="true"/>
        </w:rPr>
        <w:t>להלן</w:t>
      </w:r>
      <w:r>
        <w:rPr>
          <w:rFonts w:cs="David" w:ascii="David" w:hAnsi="David"/>
          <w:b/>
          <w:bCs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חלייחל</w:t>
      </w:r>
      <w:r>
        <w:rPr>
          <w:rFonts w:cs="David" w:ascii="David" w:hAnsi="David"/>
          <w:b/>
          <w:bCs/>
          <w:szCs w:val="24"/>
          <w:rtl w:val="true"/>
        </w:rPr>
        <w:t xml:space="preserve">); </w:t>
      </w:r>
      <w:hyperlink r:id="rId12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4406/19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סובח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17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5.11.2019</w:t>
      </w:r>
      <w:r>
        <w:rPr>
          <w:rFonts w:cs="David" w:ascii="David" w:hAnsi="David"/>
          <w:b/>
          <w:bCs/>
          <w:szCs w:val="24"/>
          <w:rtl w:val="true"/>
        </w:rPr>
        <w:t>) (</w:t>
      </w:r>
      <w:r>
        <w:rPr>
          <w:rFonts w:ascii="David" w:hAnsi="David" w:cs="David"/>
          <w:b/>
          <w:b/>
          <w:bCs/>
          <w:szCs w:val="24"/>
          <w:rtl w:val="true"/>
        </w:rPr>
        <w:t>להלן</w:t>
      </w:r>
      <w:r>
        <w:rPr>
          <w:rFonts w:cs="David" w:ascii="David" w:hAnsi="David"/>
          <w:b/>
          <w:bCs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סובח</w:t>
      </w:r>
      <w:r>
        <w:rPr>
          <w:rFonts w:cs="David" w:ascii="David" w:hAnsi="David"/>
          <w:b/>
          <w:bCs/>
          <w:szCs w:val="24"/>
          <w:rtl w:val="true"/>
        </w:rPr>
        <w:t xml:space="preserve">)). </w:t>
      </w:r>
      <w:r>
        <w:rPr>
          <w:rFonts w:ascii="David" w:hAnsi="David" w:cs="David"/>
          <w:b/>
          <w:b/>
          <w:bCs/>
          <w:szCs w:val="24"/>
          <w:rtl w:val="true"/>
        </w:rPr>
        <w:t>עבירות אלו חמורות במיוחד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בין היתר משום שהן עשויות לשמש בסיס לביצוע פעילות עבריינית או פעילות טרור </w:t>
      </w:r>
      <w:r>
        <w:rPr>
          <w:rFonts w:cs="David" w:ascii="David" w:hAnsi="David"/>
          <w:b/>
          <w:bCs/>
          <w:szCs w:val="24"/>
          <w:rtl w:val="true"/>
        </w:rPr>
        <w:t>(</w:t>
      </w:r>
      <w:hyperlink r:id="rId13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8017/20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גריפאת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6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22.12.2020</w:t>
      </w:r>
      <w:r>
        <w:rPr>
          <w:rFonts w:cs="David" w:ascii="David" w:hAnsi="David"/>
          <w:b/>
          <w:bCs/>
          <w:szCs w:val="24"/>
          <w:rtl w:val="true"/>
        </w:rPr>
        <w:t xml:space="preserve">); </w:t>
      </w:r>
      <w:hyperlink r:id="rId14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135/17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בסל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10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8.3.2017</w:t>
      </w:r>
      <w:r>
        <w:rPr>
          <w:rFonts w:cs="David" w:ascii="David" w:hAnsi="David"/>
          <w:b/>
          <w:bCs/>
          <w:szCs w:val="24"/>
          <w:rtl w:val="true"/>
        </w:rPr>
        <w:t xml:space="preserve">)).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אך באחרונה עמד בית משפט זה על כך שעבירות אלו הן בבחינת </w:t>
      </w:r>
      <w:r>
        <w:rPr>
          <w:rFonts w:cs="David" w:ascii="David" w:hAnsi="David"/>
          <w:b/>
          <w:bCs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Cs w:val="24"/>
          <w:rtl w:val="true"/>
        </w:rPr>
        <w:t>מכת מדינה</w:t>
      </w:r>
      <w:r>
        <w:rPr>
          <w:rFonts w:cs="David" w:ascii="David" w:hAnsi="David"/>
          <w:b/>
          <w:bCs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Cs w:val="24"/>
          <w:rtl w:val="true"/>
        </w:rPr>
        <w:t>ועל הצורך בהחמרת הענישה בעניינן</w:t>
      </w:r>
      <w:r>
        <w:rPr>
          <w:rFonts w:cs="David" w:ascii="David" w:hAnsi="David"/>
          <w:b/>
          <w:bCs/>
          <w:szCs w:val="24"/>
          <w:rtl w:val="true"/>
        </w:rPr>
        <w:t>:</w:t>
      </w:r>
    </w:p>
    <w:p>
      <w:pPr>
        <w:pStyle w:val="Ruller51"/>
        <w:spacing w:lineRule="auto" w:line="360" w:before="0" w:after="120"/>
        <w:ind w:start="1134" w:end="1134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כמו גם לאסונות נוראיים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מבצרם או בגן השעשועים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כל זאת כתוצאה משימוש בנשק של אחרים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אף אם הם נעדרי עבר פלילי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ענייננו ב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בבחינת 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אם מחזיקים – למאסר נשלחים</w:t>
      </w:r>
      <w:r>
        <w:rPr>
          <w:rFonts w:cs="David" w:ascii="David" w:hAnsi="David"/>
          <w:b/>
          <w:bCs/>
          <w:sz w:val="24"/>
          <w:szCs w:val="24"/>
          <w:rtl w:val="true"/>
        </w:rPr>
        <w:t>'"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קדורה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>).</w:t>
      </w:r>
    </w:p>
    <w:p>
      <w:pPr>
        <w:pStyle w:val="Ruller41"/>
        <w:numPr>
          <w:ilvl w:val="0"/>
          <w:numId w:val="0"/>
        </w:numPr>
        <w:spacing w:before="0" w:after="120"/>
        <w:ind w:hanging="0" w:start="567" w:end="567"/>
        <w:jc w:val="both"/>
        <w:rPr/>
      </w:pPr>
      <w:r>
        <w:rPr>
          <w:rFonts w:ascii="David" w:hAnsi="David" w:cs="David"/>
          <w:b/>
          <w:b/>
          <w:bCs/>
          <w:szCs w:val="24"/>
          <w:rtl w:val="true"/>
        </w:rPr>
        <w:t xml:space="preserve">בהקשר זה אוסיף כי בחודש דצמבר </w:t>
      </w:r>
      <w:r>
        <w:rPr>
          <w:rFonts w:cs="David" w:ascii="David" w:hAnsi="David"/>
          <w:b/>
          <w:bCs/>
          <w:szCs w:val="24"/>
        </w:rPr>
        <w:t>2021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Cs w:val="24"/>
          <w:rtl w:val="true"/>
        </w:rPr>
        <w:t>קבע המחוקק עונשי מינימום בעבירות נשק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>כך שהעונש שיושת בגין עבירות אלו יתחיל מרבע העונש המרבי שנקבע לעבירה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אלא אם החליט בית המשפט מטעמים מיוחדים שיירשמו להקל בעונש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ascii="David" w:hAnsi="David" w:cs="David"/>
          <w:b/>
          <w:b/>
          <w:bCs/>
          <w:color w:val="000000"/>
          <w:szCs w:val="24"/>
          <w:rtl w:val="true"/>
        </w:rPr>
        <w:t xml:space="preserve">סעיף </w:t>
      </w:r>
      <w:r>
        <w:rPr>
          <w:rFonts w:cs="David" w:ascii="David" w:hAnsi="David"/>
          <w:b/>
          <w:bCs/>
          <w:color w:val="000000"/>
          <w:szCs w:val="24"/>
        </w:rPr>
        <w:t>144</w:t>
      </w:r>
      <w:r>
        <w:rPr>
          <w:rFonts w:cs="David" w:ascii="David" w:hAnsi="David"/>
          <w:b/>
          <w:bCs/>
          <w:color w:val="000000"/>
          <w:szCs w:val="24"/>
          <w:rtl w:val="true"/>
        </w:rPr>
        <w:t>(</w:t>
      </w:r>
      <w:r>
        <w:rPr>
          <w:rFonts w:ascii="David" w:hAnsi="David" w:cs="David"/>
          <w:b/>
          <w:b/>
          <w:bCs/>
          <w:color w:val="000000"/>
          <w:szCs w:val="24"/>
          <w:rtl w:val="true"/>
        </w:rPr>
        <w:t>ז</w:t>
      </w:r>
      <w:r>
        <w:rPr>
          <w:rFonts w:cs="David" w:ascii="David" w:hAnsi="David"/>
          <w:b/>
          <w:bCs/>
          <w:color w:val="000000"/>
          <w:szCs w:val="24"/>
          <w:rtl w:val="true"/>
        </w:rPr>
        <w:t>)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Cs w:val="24"/>
          <w:rtl w:val="true"/>
        </w:rPr>
        <w:t>ל</w:t>
      </w:r>
      <w:hyperlink r:id="rId15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חוק העונשין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Cs w:val="24"/>
          <w:rtl w:val="true"/>
        </w:rPr>
        <w:t>תיקון מס</w:t>
      </w:r>
      <w:r>
        <w:rPr>
          <w:rFonts w:cs="David" w:ascii="David" w:hAnsi="David"/>
          <w:b/>
          <w:bCs/>
          <w:szCs w:val="24"/>
          <w:rtl w:val="true"/>
        </w:rPr>
        <w:t xml:space="preserve">' </w:t>
      </w:r>
      <w:r>
        <w:rPr>
          <w:rFonts w:cs="David" w:ascii="David" w:hAnsi="David"/>
          <w:b/>
          <w:bCs/>
          <w:szCs w:val="24"/>
        </w:rPr>
        <w:t>140</w:t>
      </w:r>
      <w:r>
        <w:rPr>
          <w:rFonts w:cs="David" w:ascii="David" w:hAnsi="David"/>
          <w:b/>
          <w:bCs/>
          <w:szCs w:val="24"/>
          <w:rtl w:val="true"/>
        </w:rPr>
        <w:t xml:space="preserve"> – </w:t>
      </w:r>
      <w:r>
        <w:rPr>
          <w:rFonts w:ascii="David" w:hAnsi="David" w:cs="David"/>
          <w:b/>
          <w:b/>
          <w:bCs/>
          <w:szCs w:val="24"/>
          <w:rtl w:val="true"/>
        </w:rPr>
        <w:t>הוראת שעה</w:t>
      </w:r>
      <w:r>
        <w:rPr>
          <w:rFonts w:cs="David" w:ascii="David" w:hAnsi="David"/>
          <w:b/>
          <w:bCs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Cs w:val="24"/>
          <w:rtl w:val="true"/>
        </w:rPr>
        <w:t>התשפ</w:t>
      </w:r>
      <w:r>
        <w:rPr>
          <w:rFonts w:cs="David" w:ascii="David" w:hAnsi="David"/>
          <w:b/>
          <w:bCs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Cs w:val="24"/>
          <w:rtl w:val="true"/>
        </w:rPr>
        <w:t>ב</w:t>
      </w:r>
      <w:r>
        <w:rPr>
          <w:rFonts w:cs="David" w:ascii="David" w:hAnsi="David"/>
          <w:b/>
          <w:bCs/>
          <w:szCs w:val="24"/>
          <w:rtl w:val="true"/>
        </w:rPr>
        <w:t>-</w:t>
      </w:r>
      <w:r>
        <w:rPr>
          <w:rFonts w:cs="David" w:ascii="David" w:hAnsi="David"/>
          <w:b/>
          <w:bCs/>
          <w:szCs w:val="24"/>
        </w:rPr>
        <w:t>2021</w:t>
      </w:r>
      <w:r>
        <w:rPr>
          <w:rFonts w:cs="David" w:ascii="David" w:hAnsi="David"/>
          <w:b/>
          <w:bCs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קדורה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6</w:t>
      </w:r>
      <w:r>
        <w:rPr>
          <w:rFonts w:cs="David" w:ascii="David" w:hAnsi="David"/>
          <w:b/>
          <w:bCs/>
          <w:szCs w:val="24"/>
          <w:rtl w:val="true"/>
        </w:rPr>
        <w:t xml:space="preserve">; </w:t>
      </w:r>
      <w:hyperlink r:id="rId16"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Cs w:val="24"/>
            <w:u w:val="single"/>
          </w:rPr>
          <w:t>4456/21</w:t>
        </w:r>
      </w:hyperlink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אבו עבסה</w:t>
      </w:r>
      <w:r>
        <w:rPr>
          <w:rFonts w:cs="David" w:ascii="David" w:hAnsi="David"/>
          <w:b/>
          <w:bCs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Cs w:val="24"/>
        </w:rPr>
        <w:t>15</w:t>
      </w:r>
      <w:r>
        <w:rPr>
          <w:rFonts w:cs="David" w:ascii="David" w:hAnsi="David"/>
          <w:b/>
          <w:bCs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Cs w:val="24"/>
          <w:rtl w:val="true"/>
        </w:rPr>
        <w:t>(</w:t>
      </w:r>
      <w:r>
        <w:rPr>
          <w:rFonts w:cs="David" w:ascii="David" w:hAnsi="David"/>
          <w:b/>
          <w:bCs/>
          <w:szCs w:val="24"/>
        </w:rPr>
        <w:t>23.1.2022</w:t>
      </w:r>
      <w:r>
        <w:rPr>
          <w:rFonts w:cs="David" w:ascii="David" w:hAnsi="David"/>
          <w:b/>
          <w:bCs/>
          <w:szCs w:val="24"/>
          <w:rtl w:val="true"/>
        </w:rPr>
        <w:t xml:space="preserve">)). </w:t>
      </w:r>
      <w:r>
        <w:rPr>
          <w:rFonts w:ascii="David" w:hAnsi="David" w:cs="David"/>
          <w:b/>
          <w:b/>
          <w:bCs/>
          <w:szCs w:val="24"/>
          <w:rtl w:val="true"/>
        </w:rPr>
        <w:t>הגם שתיקון זה אינו חל בעניינו של המשיב – שהמעשים שבהם הורשע בוצעו עובר לחקיקתו – הוא משקף את רצון המחוקק בהחמרת הענישה בעבירות נשק</w:t>
      </w:r>
      <w:r>
        <w:rPr>
          <w:rFonts w:cs="David" w:ascii="David" w:hAnsi="David"/>
          <w:b/>
          <w:bCs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,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ונפסק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מופרעים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מקלע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מאד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עונשין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שחומרתם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hyperlink r:id="rId18">
        <w:r>
          <w:rPr>
            <w:rStyle w:val="Hyperlink"/>
            <w:b/>
            <w:b/>
            <w:bCs/>
            <w:color w:val="000000"/>
            <w:rtl w:val="true"/>
          </w:rPr>
          <w:t>פלר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יסודות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בדיני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52-48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כרך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hyperlink r:id="rId19">
        <w:r>
          <w:rPr>
            <w:rStyle w:val="Hyperlink"/>
            <w:b/>
            <w:b/>
            <w:bCs/>
            <w:color w:val="000000"/>
            <w:rtl w:val="true"/>
          </w:rPr>
          <w:t>בסעיף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144</w:t>
        </w:r>
        <w:r>
          <w:rPr>
            <w:rStyle w:val="Hyperlink"/>
            <w:b/>
            <w:bCs/>
            <w:color w:val="000000"/>
            <w:rtl w:val="true"/>
          </w:rPr>
          <w:t>(</w:t>
        </w:r>
        <w:r>
          <w:rPr>
            <w:rStyle w:val="Hyperlink"/>
            <w:b/>
            <w:b/>
            <w:bCs/>
            <w:color w:val="000000"/>
            <w:rtl w:val="true"/>
          </w:rPr>
          <w:t>א</w:t>
        </w:r>
        <w:r>
          <w:rPr>
            <w:rStyle w:val="Hyperlink"/>
            <w:b/>
            <w:bCs/>
            <w:color w:val="000000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0">
        <w:r>
          <w:rPr>
            <w:rStyle w:val="Hyperlink"/>
            <w:b/>
            <w:b/>
            <w:bCs/>
            <w:color w:val="000000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שחלקם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ממלחמתה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הלחיצה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1">
        <w:r>
          <w:rPr>
            <w:rStyle w:val="Hyperlink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4406/19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5.11.2019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b/>
          <w:bCs/>
          <w:rtl w:val="true"/>
        </w:rPr>
        <w:t xml:space="preserve">)). </w:t>
      </w:r>
    </w:p>
    <w:p>
      <w:pPr>
        <w:pStyle w:val="Normal"/>
        <w:spacing w:lineRule="auto" w:line="360" w:before="0" w:after="120"/>
        <w:ind w:start="567" w:end="567"/>
        <w:jc w:val="both"/>
        <w:rPr>
          <w:b/>
          <w:bCs/>
        </w:rPr>
      </w:pPr>
      <w:r>
        <w:rPr>
          <w:b/>
          <w:b/>
          <w:bCs/>
          <w:rtl w:val="true"/>
        </w:rPr>
        <w:t>לזאת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אוסיף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2">
        <w:r>
          <w:rPr>
            <w:rStyle w:val="Hyperlink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3124/18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14.8.2019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והאסמכתאות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שגזירה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מתמטית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מקיימים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הקפדה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מהבניית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3">
        <w:r>
          <w:rPr>
            <w:rStyle w:val="Hyperlink"/>
            <w:b/>
            <w:b/>
            <w:bCs/>
            <w:color w:val="000000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hyperlink r:id="rId24">
        <w:r>
          <w:rPr>
            <w:rStyle w:val="Hyperlink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8641/12</w:t>
        </w:r>
        <w:r>
          <w:rPr>
            <w:rStyle w:val="Hyperlink"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סעד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נ</w:t>
        </w:r>
        <w:r>
          <w:rPr>
            <w:rStyle w:val="Hyperlink"/>
            <w:b/>
            <w:bCs/>
            <w:color w:val="000000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00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ישראל</w:t>
        </w:r>
        <w:r>
          <w:rPr>
            <w:rStyle w:val="Hyperlink"/>
            <w:b/>
            <w:bCs/>
            <w:color w:val="000000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סו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772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2013</w:t>
      </w:r>
      <w:r>
        <w:rPr>
          <w:b/>
          <w:bCs/>
          <w:rtl w:val="true"/>
        </w:rPr>
        <w:t xml:space="preserve">)).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ור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50840-03-22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סלאמה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תקניים</w:t>
      </w:r>
      <w:r>
        <w:rPr>
          <w:rtl w:val="true"/>
        </w:rPr>
        <w:t xml:space="preserve">)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וענשו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נועדו לזרוע הרס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חורבן ואובדן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הם נועדו להרוג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ככל שמדובר בכלי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התקפי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דוגמת מקלע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 או רובה סער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מידת ההרס וההרג אשר יש בכוחם לזרוע רבה יותר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מדינה ריבונית איננה יכולה לקבל 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גורל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תופעה של החזקת כמות אדירה של נשק 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חוקי בקרב אזרחיה ותושביה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תופעה שכזו פוגעת בעצם משילותה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היא פוגעת בסדר הטוב שבה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היא חותרת תחת שלומם וביטחונם של אזרחיה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לבסוף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אף עלולה להקים סימן שאלה על עצם קיומה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rFonts w:ascii="David" w:hAnsi="David"/>
          <w:b/>
          <w:b/>
          <w:bCs/>
          <w:rtl w:val="true"/>
        </w:rPr>
        <w:t>ועדת המנכ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לים להתמודדות עם הפשיעה והאלימות בחברה הערבית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ציינה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במסגרת הדו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 המפורט שאותו פרסמה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שאחד המאפיינים של תופעת הפשיעה בחברה הערבית והגורמים לה הוא הימצאותם וזמינותם של 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מסוגים שונים בקרב החברה הערבית בהיקפים גדולים מאוד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ההערכות מדברות על החזקה של עשרות ומאות אלפי 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לא חוקיים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השימוש בכלים הללו פוגע קשות בביטחון האישי של האזרחים ובאמון בכוחות אכיפת החוק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עצם החזקת הנשק מגבירה את החשש לשימוש בו ומפגיעה בחיי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וכך גדל הביקוש הגובר בהתחמשות ובמספר מקרי הירי והרצח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הוועדה המליצה על העלאת רמת הענישה ובכך חיזוק אמון הציבור הערבי במדינה בכלל וברשויות האכיפה בפרט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דו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הוועדה אומץ במסגרת הצעת </w:t>
      </w:r>
      <w:hyperlink r:id="rId2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143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עבירות בנשק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הצ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הממשלה </w:t>
      </w:r>
      <w:r>
        <w:rPr>
          <w:rFonts w:cs="David" w:ascii="David" w:hAnsi="David"/>
          <w:b/>
          <w:bCs/>
        </w:rPr>
        <w:t>1466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כסלו 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22.11.2021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 xml:space="preserve">במסגרת תיקון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שנכנס בתוקף בהוראת שעה למשך שלוש שנים ביום </w:t>
      </w:r>
      <w:r>
        <w:rPr>
          <w:rFonts w:cs="David" w:ascii="David" w:hAnsi="David"/>
          <w:b/>
          <w:bCs/>
        </w:rPr>
        <w:t>8.12.2021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אף אימצה כנסת ישראל את ההמלצות הללו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הדברים ידועים וברורים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ביכולתן של רשויות האכיפה להגיע אל כל אחד ואחד ממחזיקי הנשק הבלתי חוקי מפאת כמותם והתנהלותם החשאית ומפאת מגבלותיהם הידועות והברורות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לפיכך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רק ענישה חמורה וכואבת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שתוטל על מתי המעט מן המעט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נתפסים כשהם רוכשים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מחזיקים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נושאים ומובילים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עשויה לשנות במשהו את מאזן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הכדאיות של מי ששוקל לעבור עבירות שכאלו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הפיתוי לעבור את העבירות הללו הוא רב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למכירת נשק לא חוקי עשוי להילוות רווח נאה בשים לב למחיריו המאמירים כל העת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מחזיקי נשק נהנים 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מעמד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ומיכולת לאיים ולהרתיע את הזולת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גורמי הפשע והטרור עושים בו שימוש תדיר להוצאה לפועל של פעולותיהם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תוך קיפוד חיי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 xml:space="preserve">אדם שוב ושוב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לעיתים גם כאלו שאינם קשורים כלל לסכסוך ואך נקלעו לקו האש שלא בטובתם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הוראת השעה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נחקקה זה מקרוב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הקובעת עונש מזערי לעבירות דוגמת זו שבעשייתה הורשע המשיב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איננה חלה בעניינו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עם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רוחה שורה עלינו זה מכבר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היא אלא אמירה חקיקתית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המצהירה את המובן מאליו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הצהרות דוגמתה בוטאו פעם ועוד פעם בפסיקת בתי המשפט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לכל ברור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מיגור תופעת ההחזקה של אמל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 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חוקי יוכל לצאת מגדר המילה הנאמרת או הנכתבת אל הפועל בעולם המציאות רק אם העבירות המרכיבות אותה יזכו להכרה כעבירות חמורות ומסוכנות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כאלו הראויות לעונש חמור ומכביד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העונש המרבי הקבוע לצד עבירה שעניינה החזקת נשק הוא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העונש המרבי איננו אות מתה בשיטתנו המשפטית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הוא מהווה סמן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נשתל בידי המחוקק על גבי דפי ספר החוקים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מנת לאותת לבית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מה עשוי להיות העונש הראוי להיות מוטל על העבריין במקרים החמורים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מובן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לא בכל מקרה הבא בפניו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להטיל את העונש המרבי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מתאימים לעניין זה דבריו של כב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השופט שטיין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שנכתבו במסגרתו של </w:t>
      </w:r>
      <w:hyperlink r:id="rId2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2352/19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דנילוב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sz w:val="22"/>
          <w:rtl w:val="true"/>
        </w:rPr>
        <w:t>[</w:t>
      </w:r>
      <w:r>
        <w:rPr>
          <w:rFonts w:ascii="David" w:hAnsi="David"/>
          <w:b/>
          <w:b/>
          <w:bCs/>
          <w:sz w:val="22"/>
          <w:sz w:val="22"/>
          <w:rtl w:val="true"/>
        </w:rPr>
        <w:t>פורסם בנבו</w:t>
      </w:r>
      <w:r>
        <w:rPr>
          <w:rFonts w:cs="David" w:ascii="David" w:hAnsi="David"/>
          <w:b/>
          <w:bCs/>
          <w:sz w:val="22"/>
          <w:rtl w:val="true"/>
        </w:rPr>
        <w:t xml:space="preserve">]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ניתן ביום </w:t>
      </w:r>
      <w:r>
        <w:rPr>
          <w:rFonts w:cs="David" w:ascii="David" w:hAnsi="David"/>
          <w:b/>
          <w:bCs/>
        </w:rPr>
        <w:t>15.10.19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בציינו כדלהלן </w:t>
      </w:r>
      <w:r>
        <w:rPr>
          <w:rFonts w:cs="David" w:ascii="David" w:hAnsi="David"/>
          <w:b/>
          <w:bCs/>
          <w:rtl w:val="true"/>
        </w:rPr>
        <w:t xml:space="preserve">- </w:t>
      </w:r>
    </w:p>
    <w:p>
      <w:pPr>
        <w:pStyle w:val="Normal"/>
        <w:spacing w:lineRule="auto" w:line="360" w:before="0" w:after="120"/>
        <w:ind w:start="851"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"...</w:t>
      </w:r>
      <w:r>
        <w:rPr>
          <w:rFonts w:ascii="David" w:hAnsi="David"/>
          <w:b/>
          <w:b/>
          <w:bCs/>
          <w:rtl w:val="true"/>
        </w:rPr>
        <w:t>עונשי המקסימום הקבועים בצד עבירות אינם רק מגדירים את גבולה העליון של סמכות הענישה שבידי בתי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גם מבטאים את עמדת המחוקק ביחס לחומרת העבירות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כפי שציינתי 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בקבעו את עונשי מקסימום אלו המחוקק לא דיבר לריק – שומה עלינו להתאים את הענישה הנוהגת לעמדתו זו</w:t>
      </w:r>
      <w:r>
        <w:rPr>
          <w:rFonts w:cs="David" w:ascii="David" w:hAnsi="David"/>
          <w:b/>
          <w:bCs/>
          <w:rtl w:val="true"/>
        </w:rPr>
        <w:t>..".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הדברים בוודאי נכונים עת בתי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חוזרים ועומדים על מסוכנות תופעת עבירות הנשק</w:t>
      </w:r>
      <w:r>
        <w:rPr>
          <w:rFonts w:cs="David" w:ascii="David" w:hAnsi="David"/>
          <w:b/>
          <w:bCs/>
          <w:rtl w:val="true"/>
        </w:rPr>
        <w:t xml:space="preserve">;  </w:t>
      </w:r>
      <w:r>
        <w:rPr>
          <w:rFonts w:ascii="David" w:hAnsi="David"/>
          <w:b/>
          <w:b/>
          <w:bCs/>
          <w:rtl w:val="true"/>
        </w:rPr>
        <w:t>על נזקן הרב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על היותן מכת מדינה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על הצורך למגרן ועל הקושי לעשות כן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במקרה שלפנינו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המשיב הורשע בהחזקת שני 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אחד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בשום שלב לא נשמעה מפיו או בשמו הצהרה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המסבירה מדוע החזיק בנשק</w:t>
      </w:r>
      <w:r>
        <w:rPr>
          <w:rFonts w:cs="David" w:ascii="David" w:hAnsi="David"/>
          <w:b/>
          <w:bCs/>
          <w:rtl w:val="true"/>
        </w:rPr>
        <w:t xml:space="preserve">? </w:t>
      </w:r>
      <w:r>
        <w:rPr>
          <w:rFonts w:ascii="David" w:hAnsi="David"/>
          <w:b/>
          <w:b/>
          <w:bCs/>
          <w:rtl w:val="true"/>
        </w:rPr>
        <w:t>כיצד הגיע הנשק לרשותו</w:t>
      </w:r>
      <w:r>
        <w:rPr>
          <w:rFonts w:cs="David" w:ascii="David" w:hAnsi="David"/>
          <w:b/>
          <w:bCs/>
          <w:rtl w:val="true"/>
        </w:rPr>
        <w:t xml:space="preserve">? </w:t>
      </w:r>
      <w:r>
        <w:rPr>
          <w:rFonts w:ascii="David" w:hAnsi="David"/>
          <w:b/>
          <w:b/>
          <w:bCs/>
          <w:rtl w:val="true"/>
        </w:rPr>
        <w:t>מה התכוון לעשות בנשק</w:t>
      </w:r>
      <w:r>
        <w:rPr>
          <w:rFonts w:cs="David" w:ascii="David" w:hAnsi="David"/>
          <w:b/>
          <w:bCs/>
          <w:rtl w:val="true"/>
        </w:rPr>
        <w:t xml:space="preserve">? </w:t>
      </w:r>
      <w:r>
        <w:rPr>
          <w:rFonts w:ascii="David" w:hAnsi="David"/>
          <w:b/>
          <w:b/>
          <w:bCs/>
          <w:rtl w:val="true"/>
        </w:rPr>
        <w:t>כאשר עניין לנו בעבירה מסוג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כורכת בחובה סכנה מוחשית לציבור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פועל יוצא של עשיית שימוש בנשק או בהפצתו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אזי אין להניח הנחות מקלות לזכות הנאשם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ואכן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אם התכוון המשיב לסחור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אם בחר להחזיקו לצורך שימוש פלילי או אחר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בכך כדי להוות טעם להקל עמו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יותר 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עניין לנו כאן בכלי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 xml:space="preserve">נשק מסוג התקפי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 xml:space="preserve">מקלע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ולא רק אחד אלא שניים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מקום בו עסקינן בכלי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מסוג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נטל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ההסבר המוטל לפתחו של העבריין כבד יותר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מזדהים אנו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אפוא עם טענות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שלפיהן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הגיעה השעה לעלות שלב נוסף במעלה המדורג בסולם הענישה המוטל על עבריינות הנשק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rFonts w:ascii="David" w:hAnsi="David"/>
          <w:b/>
          <w:b/>
          <w:bCs/>
          <w:rtl w:val="true"/>
        </w:rPr>
        <w:t>יש לזכור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מדיניות הענישה הנוהגת היא אך אחד מהשיקולים המשמשים בידי בית המשפט בקביעת מתחם העונש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לצד שיקולים נוספים</w:t>
      </w:r>
      <w:r>
        <w:rPr>
          <w:rFonts w:ascii="David" w:hAnsi="David"/>
          <w:b/>
          <w:b/>
          <w:bCs/>
          <w:rtl w:val="true"/>
        </w:rPr>
        <w:t xml:space="preserve"> הכוללים בין 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את </w:t>
      </w:r>
      <w:r>
        <w:rPr>
          <w:rFonts w:ascii="David" w:hAnsi="David"/>
          <w:b/>
          <w:b/>
          <w:bCs/>
          <w:u w:val="single"/>
          <w:rtl w:val="true"/>
        </w:rPr>
        <w:t>רמת הפגיעה בערכים המוגנים</w:t>
      </w:r>
      <w:r>
        <w:rPr>
          <w:rFonts w:ascii="David" w:hAnsi="David"/>
          <w:b/>
          <w:b/>
          <w:bCs/>
          <w:rtl w:val="true"/>
        </w:rPr>
        <w:t xml:space="preserve"> ונסיבות הקשורות בביצוע העבירה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למשל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2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9954/17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זילברשטיין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sz w:val="22"/>
          <w:rtl w:val="true"/>
        </w:rPr>
        <w:t>[</w:t>
      </w:r>
      <w:r>
        <w:rPr>
          <w:rFonts w:ascii="David" w:hAnsi="David"/>
          <w:b/>
          <w:b/>
          <w:bCs/>
          <w:sz w:val="22"/>
          <w:sz w:val="22"/>
          <w:rtl w:val="true"/>
        </w:rPr>
        <w:t>פורסם בנבו</w:t>
      </w:r>
      <w:r>
        <w:rPr>
          <w:rFonts w:cs="David" w:ascii="David" w:hAnsi="David"/>
          <w:b/>
          <w:bCs/>
          <w:sz w:val="22"/>
          <w:rtl w:val="true"/>
        </w:rPr>
        <w:t xml:space="preserve">]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ניתן ביום </w:t>
      </w:r>
      <w:r>
        <w:rPr>
          <w:rFonts w:cs="David" w:ascii="David" w:hAnsi="David"/>
          <w:b/>
          <w:bCs/>
        </w:rPr>
        <w:t>22.4.18</w:t>
      </w:r>
      <w:r>
        <w:rPr>
          <w:rFonts w:cs="David" w:ascii="David" w:hAnsi="David"/>
          <w:b/>
          <w:bCs/>
          <w:rtl w:val="true"/>
        </w:rPr>
        <w:t xml:space="preserve">). 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rFonts w:ascii="David" w:hAnsi="David"/>
          <w:b/>
          <w:b/>
          <w:bCs/>
          <w:rtl w:val="true"/>
        </w:rPr>
        <w:t>לצד זאת אעיר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כי </w:t>
      </w:r>
      <w:r>
        <w:rPr>
          <w:rFonts w:ascii="David" w:hAnsi="David"/>
          <w:b/>
          <w:b/>
          <w:bCs/>
          <w:u w:val="single"/>
          <w:rtl w:val="true"/>
        </w:rPr>
        <w:t>אך לפני מספר ימים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במסגרתו 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1695/22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גנאים ואח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cs="David" w:ascii="David" w:hAnsi="David"/>
          <w:b/>
          <w:bCs/>
          <w:sz w:val="22"/>
          <w:rtl w:val="true"/>
        </w:rPr>
        <w:t>[</w:t>
      </w:r>
      <w:r>
        <w:rPr>
          <w:rFonts w:ascii="David" w:hAnsi="David"/>
          <w:b/>
          <w:b/>
          <w:bCs/>
          <w:sz w:val="22"/>
          <w:sz w:val="22"/>
          <w:rtl w:val="true"/>
        </w:rPr>
        <w:t>פורסם בנבו</w:t>
      </w:r>
      <w:r>
        <w:rPr>
          <w:rFonts w:cs="David" w:ascii="David" w:hAnsi="David"/>
          <w:b/>
          <w:bCs/>
          <w:sz w:val="22"/>
          <w:rtl w:val="true"/>
        </w:rPr>
        <w:t xml:space="preserve">]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ניתן ביום </w:t>
      </w:r>
      <w:r>
        <w:rPr>
          <w:rFonts w:cs="David" w:ascii="David" w:hAnsi="David"/>
          <w:b/>
          <w:bCs/>
        </w:rPr>
        <w:t>29.3.22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שהוזכר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שב ועמד בית – המשפט העליון על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החומרה היתרה שיש לעבירות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הפכו זה מכבר למכת מדינה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ושמאיימות באופן ממשי על שלום הציבור ועל ביטחונו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ascii="David" w:hAnsi="David"/>
          <w:b/>
          <w:b/>
          <w:bCs/>
          <w:rtl w:val="true"/>
        </w:rPr>
        <w:t>בית –המשפט העליון הצהיר במסגרת הפרשה הנ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ל 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ניכרת בפסיקה מגמה עקבית של החמרה בענישה הנוהגת כלפי מבצעי עבירות נשק במטרה לשדר מסר מרתיע מפני ביצוען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ascii="David" w:hAnsi="David"/>
          <w:b/>
          <w:b/>
          <w:bCs/>
          <w:rtl w:val="true"/>
        </w:rPr>
        <w:t>אמנם במסגרת פרשה 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תיקון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3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לא חל על עניינם של המשיבים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חרף האמור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באותו מקרה מצא לנכון בית – המשפט להחמיר בענישה תוך שימת דגש על כך שערכאת הערעור אינה ממצה את חומרת הדין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וכאשר מובאים בחשבון את השיקולים הבאים –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מדיניות ההחמרה בענישה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היות הנשק ארוך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אוטומטי ובעל פוטנציאל קטלני גבוה וכן את נסיבות ביצוע העבירה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rtl w:val="true"/>
        </w:rPr>
        <w:t xml:space="preserve">דומה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שרוחה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 הפסיקה של בית – המשפט העליון חייבת לשרות גם על העניין המונח לפנינו</w:t>
      </w:r>
      <w:r>
        <w:rPr>
          <w:rFonts w:cs="David" w:ascii="David" w:hAnsi="David"/>
          <w:b/>
          <w:bCs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...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rFonts w:ascii="David" w:hAnsi="David"/>
          <w:b/>
          <w:b/>
          <w:bCs/>
          <w:rtl w:val="true"/>
        </w:rPr>
        <w:t>ראוי להמשיך במגמת ההחמרה בענישה וליישמה גם במקרה שלפנינו כך שייאמר בקול חד וברור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כל המעורב בעבירות נשק שלא כחוק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מי שרוכשם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 שסוחר בהם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מובילם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נושאם או משתמש בהם יישא בגין כך במלוא חומרת הדין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אולי כך יופר מאזן הכדאיות של העבריינים והחזקת נשק בלתי – חוקי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בשים לב לסיכוי להיתפס בגינה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תהפוך להיות מסוכנת ובלתי – כדאית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ר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2024-04-21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מנדורי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סופט</w:t>
      </w:r>
      <w:r>
        <w:rPr>
          <w:rtl w:val="true"/>
        </w:rPr>
        <w:t xml:space="preserve">"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שהוסב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207/14</w:t>
      </w:r>
      <w:r>
        <w:rPr>
          <w:rtl w:val="true"/>
        </w:rPr>
        <w:t xml:space="preserve">,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/>
        <w:t>1.2.15</w:t>
      </w:r>
      <w:r>
        <w:rPr>
          <w:rtl w:val="true"/>
        </w:rPr>
        <w:t xml:space="preserve">,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בראן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לסע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וניסוחו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אשר לטענת המערער בדבר היחס שבין תיקון </w:t>
      </w:r>
      <w:r>
        <w:rPr>
          <w:rFonts w:cs="Arial" w:ascii="Arial" w:hAnsi="Arial"/>
          <w:b/>
          <w:bCs/>
        </w:rPr>
        <w:t>113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 ובין העונשים המזעריים בחוק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הרי שאף ללא העונש המזערי הקבוע בחוק לעבירת מעשה מגונה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בנסיבות המקרה ראוי היה לקבוע מתחם ענישה חמור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כפי שקבע בית המשפט המחוזי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שני הצדדים הפנו לפסיקות בהן נקבעו מתחמים נמוכים וגבוהים כאחד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ובסופו של 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קביעת המתחם תלויה בנסיבות המקרה הספציפי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על אף שאני סבור כי די בנסיבות המקרה כדי לקבוע את המתחם אשר נקבע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אדרש לשאלת היחס הראוי שבין תיקון </w:t>
      </w:r>
      <w:r>
        <w:rPr>
          <w:rFonts w:cs="Arial" w:ascii="Arial" w:hAnsi="Arial"/>
          <w:b/>
          <w:bCs/>
        </w:rPr>
        <w:t>113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 ובין העונשים המזעריים הקבועים בו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סעיף </w:t>
      </w:r>
      <w:r>
        <w:rPr>
          <w:rFonts w:cs="Arial" w:ascii="Arial" w:hAnsi="Arial"/>
          <w:b/>
          <w:bCs/>
          <w:color w:val="000000"/>
        </w:rPr>
        <w:t>355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ascii="Arial" w:hAnsi="Arial" w:cs="Arial"/>
          <w:b/>
          <w:b/>
          <w:bCs/>
          <w:color w:val="000000"/>
          <w:rtl w:val="true"/>
        </w:rPr>
        <w:t>א</w:t>
      </w:r>
      <w:r>
        <w:rPr>
          <w:rFonts w:cs="Arial" w:ascii="Arial" w:hAnsi="Arial"/>
          <w:b/>
          <w:bCs/>
          <w:color w:val="000000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 קובע עונש מרבי לעבירת המעשה המגונה של עשר שנות מאסר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לצד זאת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נקבע עונש מזערי של רבע מהעונש המרבי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לא יפחת למעט בשל טעמים מיוחדים שיירשמו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תיקון </w:t>
      </w:r>
      <w:r>
        <w:rPr>
          <w:rFonts w:cs="Arial" w:ascii="Arial" w:hAnsi="Arial"/>
          <w:b/>
          <w:bCs/>
        </w:rPr>
        <w:t>113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 מנחה את בית המשפט לקבוע מתחם עונש הולם ובתוכו למקם את הנאשם בהתאם לנסיבותיו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חברי השופט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הנדל התייחס לא מזמן להתנגשות האפשרית בין קביעת המתחם לפי תיקון </w:t>
      </w:r>
      <w:r>
        <w:rPr>
          <w:rFonts w:cs="Arial" w:ascii="Arial" w:hAnsi="Arial"/>
          <w:b/>
          <w:bCs/>
        </w:rPr>
        <w:t>113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לבין קיומי של עונש מזערי לפי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סעיף </w:t>
      </w:r>
      <w:r>
        <w:rPr>
          <w:rFonts w:cs="Arial" w:ascii="Arial" w:hAnsi="Arial"/>
          <w:b/>
          <w:bCs/>
          <w:color w:val="000000"/>
        </w:rPr>
        <w:t>355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ascii="Arial" w:hAnsi="Arial" w:cs="Arial"/>
          <w:b/>
          <w:b/>
          <w:bCs/>
          <w:color w:val="000000"/>
          <w:rtl w:val="true"/>
        </w:rPr>
        <w:t>א</w:t>
      </w:r>
      <w:r>
        <w:rPr>
          <w:rFonts w:cs="Arial" w:ascii="Arial" w:hAnsi="Arial"/>
          <w:b/>
          <w:bCs/>
          <w:color w:val="000000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color w:val="000000"/>
          <w:rtl w:val="true"/>
        </w:rPr>
        <w:t>ע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פ </w:t>
      </w:r>
      <w:hyperlink r:id="rId37"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337/13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>, [</w:t>
      </w:r>
      <w:r>
        <w:rPr>
          <w:rFonts w:ascii="Arial" w:hAnsi="Arial" w:cs="Arial"/>
          <w:b/>
          <w:b/>
          <w:bCs/>
          <w:rtl w:val="true"/>
        </w:rPr>
        <w:t>פורסם בנבו</w:t>
      </w:r>
      <w:r>
        <w:rPr>
          <w:rFonts w:cs="Arial" w:ascii="Arial" w:hAnsi="Arial"/>
          <w:b/>
          <w:bCs/>
          <w:rtl w:val="true"/>
        </w:rPr>
        <w:t xml:space="preserve">] </w:t>
      </w:r>
      <w:r>
        <w:rPr>
          <w:rFonts w:ascii="Arial" w:hAnsi="Arial" w:cs="Arial"/>
          <w:b/>
          <w:b/>
          <w:bCs/>
          <w:rtl w:val="true"/>
        </w:rPr>
        <w:t xml:space="preserve">פסקה </w:t>
      </w:r>
      <w:r>
        <w:rPr>
          <w:rFonts w:cs="Arial" w:ascii="Arial" w:hAnsi="Arial"/>
          <w:b/>
          <w:bCs/>
        </w:rPr>
        <w:t>13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cs="Arial" w:ascii="Arial" w:hAnsi="Arial"/>
          <w:b/>
          <w:bCs/>
        </w:rPr>
        <w:t>9.9.2013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עניין פלוני</w:t>
      </w:r>
      <w:r>
        <w:rPr>
          <w:rFonts w:cs="Arial" w:ascii="Arial" w:hAnsi="Arial"/>
          <w:b/>
          <w:bCs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השופט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הנדל קבע כי ברובד הכללי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ידו של העונש המזערי על העליונה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עם זאת צוין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גם ברובד הכללי קיים ריכוך בקביעה זו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פי החוק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במקרה הפרטני ניתן לחרוג לקולה הן מהמתחם והן מהעונש המזערי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ככל שישנן נסיבות מיוחדות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אכן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סבור כי העונשים המזעריים מהווים מדד לחשיבותו של הערך הנפגע ולמידת הפגיעה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כן יש לתת להם משקל בכורה בקביעת מתחם העונש ההולם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רק במקרים חריגים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בהם מתעוררים טעמים מיוחדים להקל עם הרף התחתון של המתחם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יהיה ראוי לסטות מהעונש המזערי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כאמור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איני סבור כי במקרה שלפנינו מתעוררים טעמים מיוחדים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ואדרבא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לנוכח תסקירי שירות המבחן ניכר כי מצבו של המערער אינו מצדיק הקלה בקביעת המתחם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בעונשו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),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שנסקרה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2024-04-21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הדרגתי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וחקיקת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הנאשם באונס וקשר לפשע ונדון לארבע 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בעבירת רכוש ונדון לשלושה 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בנהיגה בשכרות ונדון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והכרעה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360" w:start="360" w:end="0"/>
        <w:jc w:val="both"/>
        <w:rPr/>
      </w:pP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30.1.22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להשמידם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אייר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ירון מינטקביץ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17030-02-22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עלאא מקיה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36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2"/>
        <w:szCs w:val="24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color w:val="000000"/>
      <w:sz w:val="22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5">
    <w:name w:val="Ruller5 תו"/>
    <w:qFormat/>
    <w:rPr>
      <w:rFonts w:ascii="Arial TUR;Arial" w:hAnsi="Arial TUR;Arial" w:cs="FrankRuehl"/>
      <w:spacing w:val="10"/>
      <w:szCs w:val="2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Ruller41">
    <w:name w:val="Ruller 4 ממוספר"/>
    <w:basedOn w:val="Normal"/>
    <w:next w:val="Normal"/>
    <w:qFormat/>
    <w:pPr>
      <w:numPr>
        <w:ilvl w:val="0"/>
        <w:numId w:val="2"/>
      </w:numPr>
      <w:overflowPunct w:val="false"/>
      <w:autoSpaceDE w:val="false"/>
      <w:spacing w:lineRule="auto" w:line="360"/>
      <w:jc w:val="both"/>
    </w:pPr>
    <w:rPr>
      <w:rFonts w:ascii="Garamond" w:hAnsi="Garamond" w:eastAsia="Calibri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g" TargetMode="External"/><Relationship Id="rId5" Type="http://schemas.openxmlformats.org/officeDocument/2006/relationships/hyperlink" Target="http://www.nevo.co.il/law/70301/355" TargetMode="External"/><Relationship Id="rId6" Type="http://schemas.openxmlformats.org/officeDocument/2006/relationships/hyperlink" Target="http://www.nevo.co.il/law/70301/hC" TargetMode="External"/><Relationship Id="rId7" Type="http://schemas.openxmlformats.org/officeDocument/2006/relationships/hyperlink" Target="http://www.nevo.co.il/law/70301/hC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8243273" TargetMode="External"/><Relationship Id="rId10" Type="http://schemas.openxmlformats.org/officeDocument/2006/relationships/hyperlink" Target="http://www.nevo.co.il/case/28384637" TargetMode="External"/><Relationship Id="rId11" Type="http://schemas.openxmlformats.org/officeDocument/2006/relationships/hyperlink" Target="http://www.nevo.co.il/case/26905927" TargetMode="External"/><Relationship Id="rId12" Type="http://schemas.openxmlformats.org/officeDocument/2006/relationships/hyperlink" Target="http://www.nevo.co.il/case/25824863" TargetMode="External"/><Relationship Id="rId13" Type="http://schemas.openxmlformats.org/officeDocument/2006/relationships/hyperlink" Target="http://www.nevo.co.il/case/27171364" TargetMode="External"/><Relationship Id="rId14" Type="http://schemas.openxmlformats.org/officeDocument/2006/relationships/hyperlink" Target="http://www.nevo.co.il/case/22006503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7734980" TargetMode="External"/><Relationship Id="rId17" Type="http://schemas.openxmlformats.org/officeDocument/2006/relationships/hyperlink" Target="http://www.nevo.co.il/case/27309272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://www.nevo.co.il/case/28424228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5585562" TargetMode="External"/><Relationship Id="rId29" Type="http://schemas.openxmlformats.org/officeDocument/2006/relationships/hyperlink" Target="http://www.nevo.co.il/case/23509110" TargetMode="External"/><Relationship Id="rId30" Type="http://schemas.openxmlformats.org/officeDocument/2006/relationships/hyperlink" Target="http://www.nevo.co.il/case/28384637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7510949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55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144.g" TargetMode="External"/><Relationship Id="rId37" Type="http://schemas.openxmlformats.org/officeDocument/2006/relationships/hyperlink" Target="http://www.nevo.co.il/case/6244892" TargetMode="External"/><Relationship Id="rId38" Type="http://schemas.openxmlformats.org/officeDocument/2006/relationships/hyperlink" Target="http://www.nevo.co.il/case/27510949" TargetMode="External"/><Relationship Id="rId39" Type="http://schemas.openxmlformats.org/officeDocument/2006/relationships/hyperlink" Target="http://www.nevo.co.il/law/70301/144.g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144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2022-11-10T09:39:00Z</dcterms:created>
  <dc:creator> </dc:creator>
  <dc:description/>
  <cp:keywords/>
  <dc:language>en-IL</dc:language>
  <cp:lastModifiedBy>h1</cp:lastModifiedBy>
  <dcterms:modified xsi:type="dcterms:W3CDTF">2022-11-10T09:39:00Z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עלאא מקיה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28243273;28384637:2;26905927;25824863;27171364;22006503;27734980;27309272;28424228;25585562;23509110;27510949:2;6244892</vt:lpwstr>
  </property>
  <property fmtid="{D5CDD505-2E9C-101B-9397-08002B2CF9AE}" pid="9" name="CITY">
    <vt:lpwstr>י-ם</vt:lpwstr>
  </property>
  <property fmtid="{D5CDD505-2E9C-101B-9397-08002B2CF9AE}" pid="10" name="DATE">
    <vt:lpwstr>20220523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ירון מינטקביץ</vt:lpwstr>
  </property>
  <property fmtid="{D5CDD505-2E9C-101B-9397-08002B2CF9AE}" pid="14" name="LAWLISTTMP1">
    <vt:lpwstr>70301/hC;355;144.g:2;144</vt:lpwstr>
  </property>
  <property fmtid="{D5CDD505-2E9C-101B-9397-08002B2CF9AE}" pid="15" name="LAWYER">
    <vt:lpwstr>מוני בן מוחא;אור בן שאנן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17030</vt:lpwstr>
  </property>
  <property fmtid="{D5CDD505-2E9C-101B-9397-08002B2CF9AE}" pid="22" name="NEWPARTB">
    <vt:lpwstr>02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380020220523</vt:lpwstr>
  </property>
  <property fmtid="{D5CDD505-2E9C-101B-9397-08002B2CF9AE}" pid="34" name="TYPE_N_DATE">
    <vt:lpwstr>38020220523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