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>
          <w:vanish/>
          <w:highlight w:val="yellow"/>
        </w:rPr>
      </w:pPr>
      <w:bookmarkStart w:id="0" w:name="LastJudge"/>
      <w:bookmarkEnd w:id="0"/>
      <w:r>
        <w:rPr>
          <w:vanish/>
          <w:highlight w:val="yellow"/>
          <w:rtl w:val="true"/>
        </w:rPr>
        <w:t>&lt;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1710-10-08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פנינה ארגמן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יורם כהן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הילה צמח אלמוג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אברהם שי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ק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מבחן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אטי קמחי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bookmarkStart w:id="3" w:name="LastJudge"/>
      <w:bookmarkEnd w:id="3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הודייתו בעביר</w:t>
      </w:r>
      <w:r>
        <w:rPr>
          <w:rtl w:val="true"/>
        </w:rPr>
        <w:t>ות</w:t>
      </w:r>
      <w:r>
        <w:rPr>
          <w:rtl w:val="true"/>
        </w:rPr>
        <w:t xml:space="preserve"> המיוחס</w:t>
      </w:r>
      <w:r>
        <w:rPr>
          <w:rtl w:val="true"/>
        </w:rPr>
        <w:t>ו</w:t>
      </w:r>
      <w:r>
        <w:rPr>
          <w:rtl w:val="true"/>
        </w:rPr>
        <w:t>ת לו 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הנאשם כבן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שנה הודה בהזדמנות הראשונה בכך שהחזיק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>כמו גם החזיק בנשק שיש לגביו חשד סביר שהוא גנוב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אין לי מחלוקת כהוא זה עם ב</w:t>
      </w:r>
      <w:r>
        <w:rPr>
          <w:rtl w:val="true"/>
        </w:rPr>
        <w:t>"</w:t>
      </w:r>
      <w:r>
        <w:rPr>
          <w:rtl w:val="true"/>
        </w:rPr>
        <w:t>כ המאשימה באשר לחומרת העבירה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tl w:val="true"/>
        </w:rPr>
        <w:t xml:space="preserve">, </w:t>
      </w:r>
      <w:r>
        <w:rPr>
          <w:rtl w:val="true"/>
        </w:rPr>
        <w:t>יש לציין אקדח</w:t>
      </w:r>
      <w:r>
        <w:rPr>
          <w:rtl w:val="true"/>
        </w:rPr>
        <w:t xml:space="preserve">, </w:t>
      </w:r>
      <w:r>
        <w:rPr>
          <w:rtl w:val="true"/>
        </w:rPr>
        <w:t>מחסנית ורימון הלם של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שכן בעבירה טמון פוטנציאל ממשי של מסוכנות במיוחד לענין הסיכוי שהנשק יגיע לידיים עויינות או לידיים פליליות</w:t>
      </w:r>
      <w:r>
        <w:rPr>
          <w:rtl w:val="true"/>
        </w:rPr>
        <w:t xml:space="preserve">; </w:t>
      </w:r>
      <w:r>
        <w:rPr>
          <w:rtl w:val="true"/>
        </w:rPr>
        <w:t>לא רק זאת</w:t>
      </w:r>
      <w:r>
        <w:rPr>
          <w:rtl w:val="true"/>
        </w:rPr>
        <w:t xml:space="preserve">, </w:t>
      </w:r>
      <w:r>
        <w:rPr>
          <w:rtl w:val="true"/>
        </w:rPr>
        <w:t>קיים סיכוי של שימוש בנשק בנסיבות שונות ומגוונות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 בכדי בתי המשפט ובכלל ביהמ</w:t>
      </w:r>
      <w:r>
        <w:rPr>
          <w:rtl w:val="true"/>
        </w:rPr>
        <w:t>"</w:t>
      </w:r>
      <w:r>
        <w:rPr>
          <w:rtl w:val="true"/>
        </w:rPr>
        <w:t>ש העליון חוזר ומציין שוב ושוב את חומרת העבירה</w:t>
      </w:r>
      <w:r>
        <w:rPr>
          <w:rtl w:val="true"/>
        </w:rPr>
        <w:t xml:space="preserve">, </w:t>
      </w:r>
      <w:r>
        <w:rPr>
          <w:rtl w:val="true"/>
        </w:rPr>
        <w:t>כמו גם שלא בכדי קבע המחוקק ענישה משמעותית בצד העבירה</w:t>
      </w:r>
      <w:r>
        <w:rPr>
          <w:rtl w:val="true"/>
        </w:rPr>
        <w:t xml:space="preserve">, </w:t>
      </w:r>
      <w:r>
        <w:rPr>
          <w:rtl w:val="true"/>
        </w:rPr>
        <w:t>דהיינו עבירת 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לפיכך ביהמ</w:t>
      </w:r>
      <w:r>
        <w:rPr>
          <w:rtl w:val="true"/>
        </w:rPr>
        <w:t>"</w:t>
      </w:r>
      <w:r>
        <w:rPr>
          <w:rtl w:val="true"/>
        </w:rPr>
        <w:t>ש מחוייב בענישה ליתן ביטוי לאינטרס הציבורי למנוע מנשקים ותחמושת לא חוקיים שיסתובבו בידיים שיש בהן פוטנציאל של מסוכנות</w:t>
      </w:r>
      <w:r>
        <w:rPr>
          <w:rtl w:val="true"/>
        </w:rPr>
        <w:t xml:space="preserve">, </w:t>
      </w:r>
      <w:r>
        <w:rPr>
          <w:rtl w:val="true"/>
        </w:rPr>
        <w:t>בדרך כלל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יחד עם זאת מקבלת אני את עמדת ב</w:t>
      </w:r>
      <w:r>
        <w:rPr>
          <w:rtl w:val="true"/>
        </w:rPr>
        <w:t>"</w:t>
      </w:r>
      <w:r>
        <w:rPr>
          <w:rtl w:val="true"/>
        </w:rPr>
        <w:t>כ הנאשם שדווקא לענין עבירה של החזקת נשק ביהמ</w:t>
      </w:r>
      <w:r>
        <w:rPr>
          <w:rtl w:val="true"/>
        </w:rPr>
        <w:t>"</w:t>
      </w:r>
      <w:r>
        <w:rPr>
          <w:rtl w:val="true"/>
        </w:rPr>
        <w:t>ש העליון קבע מלפני מספר שנים רב שיש לראות את הנסיבות של החזקת הנשק ובהתאם לקבוע את רמת הענישה</w:t>
      </w:r>
      <w:r>
        <w:rPr>
          <w:rtl w:val="true"/>
        </w:rPr>
        <w:t xml:space="preserve">;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העליון קבע מספר קטרוגריות כאשר מקבלת אני שבנסיבות של החזקת תחמושת בענייננו</w:t>
      </w:r>
      <w:r>
        <w:rPr>
          <w:rtl w:val="true"/>
        </w:rPr>
        <w:t xml:space="preserve">, </w:t>
      </w:r>
      <w:r>
        <w:rPr>
          <w:rtl w:val="true"/>
        </w:rPr>
        <w:t>אין מדובר ברף העליון מבחינת החומרה</w:t>
      </w:r>
      <w:r>
        <w:rPr>
          <w:rtl w:val="true"/>
        </w:rPr>
        <w:t xml:space="preserve">, </w:t>
      </w:r>
      <w:r>
        <w:rPr>
          <w:rtl w:val="true"/>
        </w:rPr>
        <w:t>הגם שהחזקת נשק להגנה עצמית יש בה גם כן פוטנציאל ממשי של מסוכנות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לנאשם גם הרשעות קודמות</w:t>
      </w:r>
      <w:r>
        <w:rPr>
          <w:rtl w:val="true"/>
        </w:rPr>
        <w:t xml:space="preserve">, </w:t>
      </w:r>
      <w:r>
        <w:rPr>
          <w:rtl w:val="true"/>
        </w:rPr>
        <w:t>בעיקר בעבירות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אך יש לציין אכן שעבירה אחרונה בוצעה בשנת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וחלק ניכר מהעבירות מיוחסות לנאשם לענין התנהגות אלימה כלפי בת זוגו ממנה הוא גרוש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תסקיר קצין המבחן מפרט פירוט ראוי את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וגם אם מדובר בנקודת משבר הקשורה לגירושין</w:t>
      </w:r>
      <w:r>
        <w:rPr>
          <w:rtl w:val="true"/>
        </w:rPr>
        <w:t xml:space="preserve">, </w:t>
      </w:r>
      <w:r>
        <w:rPr>
          <w:rtl w:val="true"/>
        </w:rPr>
        <w:t>איני סבורה שיש לקחת זאת כנסיבה לקולא</w:t>
      </w:r>
      <w:r>
        <w:rPr>
          <w:rtl w:val="true"/>
        </w:rPr>
        <w:t xml:space="preserve">, </w:t>
      </w:r>
      <w:r>
        <w:rPr>
          <w:rtl w:val="true"/>
        </w:rPr>
        <w:t>ובוודאי לא כרקע או תשתית לביצוע העבירות נשוא כתב האישום שבפניי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הגם ששירות המבחן מציין שהנאשם מתקשה להסביר את מניעיו עם תובנה מוגבלת להשלכות ולסיכון הכרוך בכך</w:t>
      </w:r>
      <w:r>
        <w:rPr>
          <w:rtl w:val="true"/>
        </w:rPr>
        <w:t xml:space="preserve">, </w:t>
      </w:r>
      <w:r>
        <w:rPr>
          <w:rtl w:val="true"/>
        </w:rPr>
        <w:t>במכלול כל הנסיבות שירות המבחן אינו מבקש למצות עימו את מלוא חומרת הדין</w:t>
      </w:r>
      <w:r>
        <w:rPr>
          <w:rtl w:val="true"/>
        </w:rPr>
        <w:t xml:space="preserve">, </w:t>
      </w:r>
      <w:r>
        <w:rPr>
          <w:rtl w:val="true"/>
        </w:rPr>
        <w:t>גם אם לא מציע אופק שיקומי</w:t>
      </w:r>
      <w:r>
        <w:rPr>
          <w:rtl w:val="true"/>
        </w:rPr>
        <w:t xml:space="preserve">, </w:t>
      </w:r>
      <w:r>
        <w:rPr>
          <w:rtl w:val="true"/>
        </w:rPr>
        <w:t>ובמכלול כל השיקולים שבפניי גם בהתייחס לפסיקה אשר מתייחסת לנסיבות הספציפיות של מקרה המובא בפניה</w:t>
      </w:r>
      <w:r>
        <w:rPr>
          <w:rtl w:val="true"/>
        </w:rPr>
        <w:t xml:space="preserve">, </w:t>
      </w:r>
      <w:r>
        <w:rPr>
          <w:rtl w:val="true"/>
        </w:rPr>
        <w:t>על פי מכלול כל השיקולים</w:t>
      </w:r>
      <w:r>
        <w:rPr>
          <w:rtl w:val="true"/>
        </w:rPr>
        <w:t xml:space="preserve">, </w:t>
      </w:r>
      <w:r>
        <w:rPr>
          <w:rtl w:val="true"/>
        </w:rPr>
        <w:t>אני סבורה שניתן להשית ענישה אכן של מאסר בפועל אך לא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עליי לציין לענין זה שאני לוקחת בחשבון את העובדה שהנאשם היה עצור בגין תיק זה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; </w:t>
      </w:r>
      <w:r>
        <w:rPr>
          <w:rtl w:val="true"/>
        </w:rPr>
        <w:t>מעצר בית מלא כחודשיים ימים ולאחר מכן מעצר בית חלקי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נסיבות אלה הן נסיבות מהותיות כאשר ביהמ</w:t>
      </w:r>
      <w:r>
        <w:rPr>
          <w:rtl w:val="true"/>
        </w:rPr>
        <w:t>"</w:t>
      </w:r>
      <w:r>
        <w:rPr>
          <w:rtl w:val="true"/>
        </w:rPr>
        <w:t>ש שוקל את סוגי הענישה במיוחד לענין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 לוקחת בחשבון גם את ההודאה בהזדמנות הראשונה</w:t>
      </w:r>
      <w:r>
        <w:rPr>
          <w:rtl w:val="true"/>
        </w:rPr>
        <w:t xml:space="preserve">, </w:t>
      </w:r>
      <w:r>
        <w:rPr>
          <w:rtl w:val="true"/>
        </w:rPr>
        <w:t>קבלת אחריות וחסכון זמן 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לפיכך במצטבר אני דנה את הנאשם לעונשים 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 דנה את הנאשם 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בפועל שירוצו בעבודות שירות במע</w:t>
      </w:r>
      <w:r>
        <w:rPr>
          <w:rtl w:val="true"/>
        </w:rPr>
        <w:t>"</w:t>
      </w:r>
      <w:r>
        <w:rPr>
          <w:rtl w:val="true"/>
        </w:rPr>
        <w:t xml:space="preserve">ש מעון שיקומי בחדרה  החל מיום </w:t>
      </w:r>
      <w:r>
        <w:rPr/>
        <w:t>12.8.09</w:t>
      </w:r>
      <w:r>
        <w:rPr>
          <w:rtl w:val="true"/>
        </w:rPr>
        <w:t xml:space="preserve"> </w:t>
      </w:r>
      <w:r>
        <w:rPr>
          <w:rtl w:val="true"/>
        </w:rPr>
        <w:t xml:space="preserve">והכל על פי חוות דעתו של הממונה על עבודות השירות מיום </w:t>
      </w:r>
      <w:r>
        <w:rPr/>
        <w:t>30.6.09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מאסר על תנאי לתקופה של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והתנאי הוא שהנאשם 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</w:t>
      </w:r>
      <w:r>
        <w:rPr>
          <w:rtl w:val="true"/>
        </w:rPr>
        <w:t xml:space="preserve">ה בניגוד לסעיף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ויורשע בה בין בתקופת התנאי ובין 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תשלום קנס בשיעור </w:t>
      </w:r>
      <w:r>
        <w:rPr/>
        <w:t>2,000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מאסר תחתיו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הקנס י</w:t>
      </w:r>
      <w:r>
        <w:rPr>
          <w:b/>
          <w:b/>
          <w:bCs/>
          <w:rtl w:val="true"/>
        </w:rPr>
        <w:t xml:space="preserve">קוזז מהסכום ששולם במסגרת הבקשה למעצר עד תום ההליכים והיתרה תוחזר לנאשם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ניתן בזה צו למוצגים כמבוקש על ידי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תמציא עותק הפרוטוקול לממונה על עבודות 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הודעה והוסברה זכות הערעור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פנינה ארגמן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פנינה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ארגמן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ויקי ב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ויקי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ביטון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hyperlink r:id="rId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/Users/liorb/Downloads/study2025-p2/SH-08-10-1710-666.doc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1710-10-08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יורם כהן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710-10-08"/>
    <w:docVar w:name="caseId" w:val="7059200"/>
    <w:docVar w:name="deriveClass" w:val="NGCS.Protocol.BL.Client.ProtocolBLClientCriminal"/>
    <w:docVar w:name="firstPageNumber" w:val="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90329"/>
    <w:docVar w:name="releaseSign" w:val="0"/>
    <w:docVar w:name="sittingDateTime" w:val="06/07/2009 09:30     "/>
    <w:docVar w:name="sittingId" w:val="1554613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spacing w:lineRule="auto" w:line="360"/>
      <w:ind w:hanging="0" w:start="720" w:end="0"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2009-07-06T22:41:00Z</dcterms:created>
  <dc:creator> </dc:creator>
  <dc:description/>
  <cp:keywords/>
  <dc:language>en-IL</dc:language>
  <cp:lastModifiedBy>tali</cp:lastModifiedBy>
  <cp:lastPrinted>2009-07-06T10:37:00Z</cp:lastPrinted>
  <dcterms:modified xsi:type="dcterms:W3CDTF">2009-07-07T09:43:00Z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יורם כהן</vt:lpwstr>
  </property>
  <property fmtid="{D5CDD505-2E9C-101B-9397-08002B2CF9AE}" pid="4" name="CITY">
    <vt:lpwstr>חד'</vt:lpwstr>
  </property>
  <property fmtid="{D5CDD505-2E9C-101B-9397-08002B2CF9AE}" pid="5" name="DATE">
    <vt:lpwstr>20090706</vt:lpwstr>
  </property>
  <property fmtid="{D5CDD505-2E9C-101B-9397-08002B2CF9AE}" pid="6" name="JUDGE">
    <vt:lpwstr>פנינה ארגמן</vt:lpwstr>
  </property>
  <property fmtid="{D5CDD505-2E9C-101B-9397-08002B2CF9AE}" pid="7" name="LAWYER">
    <vt:lpwstr>הילה צמח אלמוג;אברהם שי</vt:lpwstr>
  </property>
  <property fmtid="{D5CDD505-2E9C-101B-9397-08002B2CF9AE}" pid="8" name="NEWPARTA">
    <vt:lpwstr>1710</vt:lpwstr>
  </property>
  <property fmtid="{D5CDD505-2E9C-101B-9397-08002B2CF9AE}" pid="9" name="NEWPARTB">
    <vt:lpwstr>10</vt:lpwstr>
  </property>
  <property fmtid="{D5CDD505-2E9C-101B-9397-08002B2CF9AE}" pid="10" name="NEWPARTC">
    <vt:lpwstr>08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380020090706</vt:lpwstr>
  </property>
  <property fmtid="{D5CDD505-2E9C-101B-9397-08002B2CF9AE}" pid="15" name="TYPE_N_DATE">
    <vt:lpwstr>38020090706</vt:lpwstr>
  </property>
  <property fmtid="{D5CDD505-2E9C-101B-9397-08002B2CF9AE}" pid="16" name="WORDNUMPAGES">
    <vt:lpwstr>3</vt:lpwstr>
  </property>
</Properties>
</file>