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1716-11-22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מחאג</w:t>
            </w:r>
            <w:r>
              <w:rPr>
                <w:sz w:val="28"/>
                <w:szCs w:val="28"/>
                <w:rtl w:val="true"/>
              </w:rPr>
              <w:t>'</w:t>
            </w:r>
            <w:r>
              <w:rPr>
                <w:sz w:val="28"/>
                <w:sz w:val="28"/>
                <w:szCs w:val="28"/>
                <w:rtl w:val="true"/>
              </w:rPr>
              <w:t>נה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8"/>
        <w:gridCol w:w="4511"/>
      </w:tblGrid>
      <w:tr>
        <w:trPr>
          <w:trHeight w:val="295" w:hRule="atLeast"/>
        </w:trPr>
        <w:tc>
          <w:tcPr>
            <w:tcW w:w="8510" w:type="dxa"/>
            <w:gridSpan w:val="3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מוחמד עלי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128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4511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8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11" w:type="dxa"/>
            <w:tcBorders/>
            <w:vAlign w:val="center"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63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511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>
          <w:trHeight w:val="355" w:hRule="atLeast"/>
        </w:trPr>
        <w:tc>
          <w:tcPr>
            <w:tcW w:w="851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כתב האישום ומהלך הדיון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על פי הודאתו בכתב אישום 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</w:t>
      </w:r>
      <w:r>
        <w:rPr>
          <w:rFonts w:ascii="Arial" w:hAnsi="Arial" w:cs="Arial"/>
          <w:rtl w:val="true"/>
        </w:rPr>
        <w:t xml:space="preserve">ה של החזקת נשק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יצוין כי כתב האישום המקורי כלל  גם  עבירה חמורה יותר של 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בשל קשיים ראייתיים הושמטו עבירות אלה מכתב האישום 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ועל כך בהמשך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ascii="Arial" w:hAnsi="Arial" w:cs="Arial"/>
          <w:rtl w:val="true"/>
        </w:rPr>
        <w:t xml:space="preserve">בפתח כתב האישום המתוקן צוין כי במועד הרלוונטי לאישום עשה הנאשם שימוש ברכב מסוג יונדאי בצבע לבן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כאשר הרכב היה בשימושו ובשליטתו והוא נהג בו מנהג בעלים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21.10.2022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01:20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למתחם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seven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באום אל פאחם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הנאשם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אשתו יושבת במושב שלצד הנהג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מחזיק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חצי אוטומטי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HP-35</w:t>
      </w:r>
      <w:r>
        <w:rPr>
          <w:rFonts w:cs="Arial" w:ascii="Arial" w:hAnsi="Arial"/>
        </w:rPr>
        <w:t>, 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פאראבלום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עוד צוין כי בתוך האקדח הייתה מחסנית תואמת שהכילה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יוער כי כתב האישום כלל בקשה לחילוט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המאשימה לא עמדה עוד על בקשת החילוט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26.12.2022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כפר הנאשם בעובדות כתב האישום</w:t>
      </w:r>
      <w:r>
        <w:rPr>
          <w:rFonts w:ascii="Arial" w:hAnsi="Arial" w:cs="Arial"/>
          <w:rtl w:val="true"/>
        </w:rPr>
        <w:t xml:space="preserve"> ונקבעו מספר ישיבות לשמיעת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בישיבה הראשונה שנועדה ל</w:t>
      </w:r>
      <w:r>
        <w:rPr>
          <w:rFonts w:ascii="Arial" w:hAnsi="Arial" w:cs="Arial"/>
          <w:rtl w:val="true"/>
        </w:rPr>
        <w:t xml:space="preserve">יום </w:t>
      </w:r>
      <w:r>
        <w:rPr>
          <w:rFonts w:cs="Arial" w:ascii="Arial" w:hAnsi="Arial"/>
        </w:rPr>
        <w:t>8.2.2023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התייצב אף עד מאלה שהוזמנו לאותה ישיבה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ישיבה ועוד לפני שנשמעו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הודיעו הצדדים כי הגיעו להסדר טיעון לפיו הנאשם הודה 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שתהיינה הסכמות לעניין העונש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הצגת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הסדר הטיעון הוא תולדה של קשיים ראייתיים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שהנאשם הודה בכתב האישום המתוקן הורשע וישיבת הטיעונים לעונש התקיימה ביום </w:t>
      </w:r>
      <w:r>
        <w:rPr>
          <w:rFonts w:cs="Arial" w:ascii="Arial" w:hAnsi="Arial"/>
        </w:rPr>
        <w:t>9.3.2023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הצדדים לעונש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הגישה טיעון בכתב לעונש והוסיפה וטענה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התייחסה בטיעוניה לערכים המוגנים בעבירות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הפנתה לחומרה של עבירות הנשק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ולהחמרה שחלה בענישה בגין עבירות אלה נוכח נפיצותן והסיכון הטמון בהן לשלום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לתיקון 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שבו עוגנה חובת הטלת עונשים מזעריים על מבצעי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ולהנחיות פרקליט המדינה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טענה כי הנאשם ביצע את המעשה לבד ואחריותו הייתה מלאה מתוקף היותו בגיר ומבין את מעשיו והשלכותיהם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כי יחד עם הנזק הוחזקה גם מחסנית ובה 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מה שעשוי ללמד על זמינות אפשרות השימוש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טיעונים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טענה המאשימה כי מתחם העונש ההולם 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לתמיכה במתחם הנטען על 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לפסיקה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לשיקולים שאינם קשורים בביצע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אין לנאשם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 והביע 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 לעונש התמקד הסנגור בהצגת פסיקה מערכאות שונות שלדידו מצביעה על מדיניות הענישה הנוהגת בעבירה של אחזקת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בידולה מהענישה בגין עבירה של נשיאת והובלת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ביקש לאבחן את הפסיקה שהוגשה על ידי המאשימה ובהקשר לכך נטען כי המקרים שהוצגו על ידי המאשימה נושאים חומרה שלא קיימת במקרה שלפנינו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ביקש לתת דגש על התיקון המשמעותי שהיה בכתב האישום במסגרתו חלף העבירה של נשיאה והובלה של נשק הורשע הנאשם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שמצויה בסמכות בית משפט השלום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טענות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הסנגור לא למצות את הדין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הסנגור טען כי המדובר בנאשם צעיר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שאין לחובתו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הפנה הסנגור להודאת הנאשם ולחסכון בזמן השיפוטי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בדברו לפניי </w:t>
      </w:r>
      <w:r>
        <w:rPr>
          <w:rFonts w:ascii="Arial" w:hAnsi="Arial" w:cs="Arial"/>
          <w:rtl w:val="true"/>
        </w:rPr>
        <w:t>ציין הנאשם כי הוא עשה טעות וכי הוא מבין שזו לא דרך נכונה להתנהל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את תקוותו לסיים את העניין ולחזור לביתו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גזירת הדין נעשית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שלבים עיקריים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קביעת מתחם עונש הולם ולאחר מכן גזירת העונש בתוך המתחם </w:t>
      </w: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בתוך כך יש לבחון אם קיימים שיקולים המצדיקים סטייה מהמתחם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בבוא בית המשפט לקבוע את מתחם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לעשות כן בהתאם לעיקרון המנחה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כלומר קיומו של יחס הולם בין חומרת מעשה העבירה 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קביעת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יתחשב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כאמור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לפני שפרט את השיקולים לצורך קביעת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יודגש כי כתב האישום כלל מלכתחילה עבירה של נשיאת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בכתב האישום נערך תיקון ולנאשם יוחסה עבירה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בדיון שהתקיים ביום </w:t>
      </w:r>
      <w:r>
        <w:rPr>
          <w:rFonts w:cs="Arial" w:ascii="Arial" w:hAnsi="Arial"/>
        </w:rPr>
        <w:t>8.2.2023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תיקון כתב האישום נבע מקיומם של קשיים ראייתיים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ועתה לקביעת המתחם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בעבירה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הערכים החברתיים המוגנים בעבירות הנשק ברורים ועניינם הגנה על שלום הציבור ובטחונו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ראיית הפוטנציאל הקטלני שטמון בהחזקת נשק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המשפט העליון שב ועמד פעם אחר פעם על חומרתן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המסכנות את שלום הציבור ומביאות לפגיעות בגוף ובנפש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לפיכך המגמה המסתמנת היא של החמרה בענישה בעבירות 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מני רבים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579/22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טחאינה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13.6.2022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גם </w:t>
      </w:r>
      <w:r>
        <w:rPr>
          <w:rFonts w:ascii="Arial" w:hAnsi="Arial" w:cs="Arial"/>
          <w:rtl w:val="true"/>
        </w:rPr>
        <w:t>המחוקק נתן את דעתו לצורך בהחמרה בענישה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</w:t>
      </w:r>
      <w:r>
        <w:rPr>
          <w:rFonts w:cs="Arial" w:ascii="Arial" w:hAnsi="Arial"/>
        </w:rPr>
        <w:t>2938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הוסף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שבו נקבע </w:t>
      </w:r>
      <w:r>
        <w:rPr>
          <w:rFonts w:ascii="Arial" w:hAnsi="Arial" w:cs="Arial"/>
          <w:rtl w:val="true"/>
        </w:rPr>
        <w:t>עונשו של מבצע עבירת נשק לא יפחת מרבע העונש המרבי שנקבע לאותה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</w:t>
      </w:r>
      <w:r>
        <w:rPr>
          <w:rFonts w:ascii="Arial" w:hAnsi="Arial" w:cs="Arial"/>
          <w:rtl w:val="true"/>
        </w:rPr>
        <w:t>אם כן החליט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מטעמים מיוחדים שיירשמו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להקל בעונשו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יצוין כי לפי </w:t>
      </w:r>
      <w:hyperlink r:id="rId19">
        <w:r>
          <w:rPr>
            <w:rStyle w:val="Hyperlink"/>
            <w:rFonts w:ascii="Arial" w:hAnsi="Arial" w:cs="Arial"/>
            <w:rtl w:val="true"/>
          </w:rPr>
          <w:t>סע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עונש מאסר לפי סעיף קטן זה לא יהיה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טעמים מיוחדים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העונש בגין </w:t>
      </w:r>
      <w:r>
        <w:rPr>
          <w:rFonts w:ascii="Arial" w:hAnsi="Arial" w:cs="Arial"/>
          <w:rtl w:val="true"/>
        </w:rPr>
        <w:t>עביר</w:t>
      </w:r>
      <w:r>
        <w:rPr>
          <w:rFonts w:ascii="Arial" w:hAnsi="Arial" w:cs="Arial"/>
          <w:rtl w:val="true"/>
        </w:rPr>
        <w:t>ה של</w:t>
      </w:r>
      <w:r>
        <w:rPr>
          <w:rFonts w:ascii="Arial" w:hAnsi="Arial" w:cs="Arial"/>
          <w:rtl w:val="true"/>
        </w:rPr>
        <w:t xml:space="preserve"> רכישת או החזקת נשק שלא כדין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ובהתאם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המינימום עומד על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להטיל את העונש שלא כולו על תנאי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בואי להתייחס לנסיבות </w:t>
      </w:r>
      <w:r>
        <w:rPr>
          <w:rFonts w:ascii="Arial" w:hAnsi="Arial" w:cs="Arial"/>
          <w:rtl w:val="true"/>
        </w:rPr>
        <w:t>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את דעתי לנסיבות כפי שהן עולות מכתב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ובכלל זה לעובדה כי הנשק הוחזק יחד עם מחסנית ותחמושת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דבר שהופך על הנשק זמין ובעל פוטנציאל סיכון גבוה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נתתי את דעתי לעובדה כי הנאשם פעל לבד ולא בחבורה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פן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היה האחראי היחיד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פרטים לגבי ייעודו של הנשק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אך אין בכך כדי להפחית מהנזק שעלול היה להיגרם עקב 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בכדי הדגש בעבירות הנשק ניתן על הסיכון הפוטנציאלי הנשקף ממנו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rtl w:val="true"/>
        </w:rPr>
        <w:t>אשר ל</w:t>
      </w:r>
      <w:r>
        <w:rPr>
          <w:rFonts w:ascii="Arial" w:hAnsi="Arial" w:cs="Arial"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מן הצדדים הפנה לפסיקה אשר לטענתו תומכת בעמדתו העונשית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רואה לסקור את כל פסקי הדין שהגישו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שחלקם הולם את המקרה וחלקם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אסתפק בהפניה למספר פסקי דין ואזכיר כי לעולם יש לתת את הדעת לשוני בנסיבות כל מקרה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4332/21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עאסלה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20.2.2022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הוטל עונש של 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 בגין החזקת תת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מקלע מאולתר</w:t>
      </w:r>
      <w:r>
        <w:rPr>
          <w:rFonts w:cs="Arial" w:ascii="Arial" w:hAnsi="Arial"/>
          <w:rtl w:val="true"/>
        </w:rPr>
        <w:t xml:space="preserve">;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6332/22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פדידה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16.2.2023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 בגין החזקת אקדח הזנקה שהוסב לירי תחמושת ומחסנית</w:t>
      </w:r>
      <w:r>
        <w:rPr>
          <w:rFonts w:cs="Arial" w:ascii="Arial" w:hAnsi="Arial"/>
          <w:rtl w:val="true"/>
        </w:rPr>
        <w:t xml:space="preserve">;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זועבי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3.1.2023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לריצוי בעבודות שירות בגין אחזקת רובה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נקוב</w:t>
      </w:r>
      <w:r>
        <w:rPr>
          <w:rFonts w:cs="Arial" w:ascii="Arial" w:hAnsi="Arial"/>
          <w:rtl w:val="true"/>
        </w:rPr>
        <w:t xml:space="preserve">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1806/22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נבארי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15.6.2022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החזקת אקדח ותחמושת</w:t>
      </w:r>
      <w:r>
        <w:rPr>
          <w:rFonts w:cs="Arial" w:ascii="Arial" w:hAnsi="Arial"/>
          <w:rtl w:val="true"/>
        </w:rPr>
        <w:t xml:space="preserve">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ישראלי נגד 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16.4.2022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עונש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החזקת אקדח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עיינו 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12888-03-22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7.11.2022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בו הוטל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השיקולים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 כי מתחם העונש ההולם בנסיבות מקרה זה 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</w:t>
      </w:r>
      <w:r>
        <w:rPr>
          <w:rFonts w:ascii="Arial" w:hAnsi="Arial" w:cs="Arial"/>
          <w:rtl w:val="true"/>
        </w:rPr>
        <w:t xml:space="preserve">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rtl w:val="true"/>
        </w:rPr>
        <w:t xml:space="preserve">בגזירת העונש בגדרי מתחם העונש ההולם יש לשקול את הנסיבות שאינן קשורות בביצוע העבירה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hyperlink r:id="rId27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גדר שיקולים אלה נתתי את דעתי לכך שהמדובר בנאשם צעיר כבן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ולחובתו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 בכתב אישום מתוקן בעוד ההליך המשפטי מצוי באיבו וניתן להתרשם כי הוא מפנים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התחשבתי בתקופה בה הנאשם היה נתון במעצר עד תום ההליכים – מיום </w:t>
      </w:r>
      <w:r>
        <w:rPr>
          <w:rFonts w:cs="Arial" w:ascii="Arial" w:hAnsi="Arial"/>
        </w:rPr>
        <w:t>21.10</w:t>
      </w:r>
      <w:r>
        <w:rPr>
          <w:rFonts w:cs="Arial" w:ascii="Arial" w:hAnsi="Arial"/>
        </w:rPr>
        <w:t>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שיקולים אלו מובילים אותי למסקנה כי יש למקם את העונש קרוב לרף</w:t>
      </w:r>
      <w:r>
        <w:rPr>
          <w:rFonts w:ascii="Arial" w:hAnsi="Arial" w:cs="Arial"/>
          <w:rtl w:val="true"/>
        </w:rPr>
        <w:t xml:space="preserve"> התחתון של המתחם </w:t>
      </w:r>
      <w:r>
        <w:rPr>
          <w:rFonts w:ascii="Arial" w:hAnsi="Arial" w:cs="Arial"/>
          <w:rtl w:val="true"/>
        </w:rPr>
        <w:t>שנקבע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גזר הדין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למתחם העונש שקבעתי ולשיקולים הקשורים לגזירת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בפועל לתקופה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בניכוי ימי מעצרו מיו</w:t>
      </w:r>
      <w:r>
        <w:rPr>
          <w:rFonts w:ascii="Arial" w:hAnsi="Arial" w:cs="Arial"/>
          <w:rtl w:val="true"/>
        </w:rPr>
        <w:t xml:space="preserve">ם </w:t>
      </w:r>
      <w:r>
        <w:rPr>
          <w:rFonts w:cs="Arial" w:ascii="Arial" w:hAnsi="Arial"/>
        </w:rPr>
        <w:t>21.10.2022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tabs>
          <w:tab w:val="clear" w:pos="720"/>
          <w:tab w:val="left" w:pos="1134" w:leader="none"/>
        </w:tabs>
        <w:spacing w:lineRule="auto" w:line="360"/>
        <w:ind w:start="56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והתנאי כי הנאשם לא יעבור בתוך שלוש שנים עבירת נשק</w:t>
      </w:r>
      <w:r>
        <w:rPr>
          <w:rFonts w:ascii="Arial" w:hAnsi="Arial" w:cs="Arial"/>
          <w:rtl w:val="true"/>
        </w:rPr>
        <w:t xml:space="preserve"> או עבירה של ירי מנשק חם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ואולם אם יורשע בעביר</w:t>
      </w:r>
      <w:r>
        <w:rPr>
          <w:rFonts w:ascii="Arial" w:hAnsi="Arial" w:cs="Arial"/>
          <w:rtl w:val="true"/>
        </w:rPr>
        <w:t xml:space="preserve">ה מעבירות אלו </w:t>
      </w:r>
      <w:r>
        <w:rPr>
          <w:rFonts w:ascii="Arial" w:hAnsi="Arial" w:cs="Arial"/>
          <w:rtl w:val="true"/>
        </w:rPr>
        <w:t>מסוג עוון יישא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בלבד מתוכם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34" w:leader="none"/>
        </w:tabs>
        <w:spacing w:lineRule="auto" w:line="360"/>
        <w:ind w:hanging="0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1.4.2023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ובמועדו</w:t>
      </w:r>
      <w:r>
        <w:rPr>
          <w:rtl w:val="true"/>
        </w:rPr>
        <w:t xml:space="preserve">,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1716-11-22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sz w:val="24"/>
        <w:b w:val="false"/>
        <w:szCs w:val="24"/>
        <w:bCs w:val="false"/>
        <w:lang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g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8266138" TargetMode="External"/><Relationship Id="rId16" Type="http://schemas.openxmlformats.org/officeDocument/2006/relationships/hyperlink" Target="http://www.nevo.co.il/case/28883087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g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7721185" TargetMode="External"/><Relationship Id="rId22" Type="http://schemas.openxmlformats.org/officeDocument/2006/relationships/hyperlink" Target="http://www.nevo.co.il/case/28963593" TargetMode="External"/><Relationship Id="rId23" Type="http://schemas.openxmlformats.org/officeDocument/2006/relationships/hyperlink" Target="http://www.nevo.co.il/case/28236735" TargetMode="External"/><Relationship Id="rId24" Type="http://schemas.openxmlformats.org/officeDocument/2006/relationships/hyperlink" Target="http://www.nevo.co.il/case/28400048" TargetMode="External"/><Relationship Id="rId25" Type="http://schemas.openxmlformats.org/officeDocument/2006/relationships/hyperlink" Target="http://www.nevo.co.il/case/28513828" TargetMode="External"/><Relationship Id="rId26" Type="http://schemas.openxmlformats.org/officeDocument/2006/relationships/hyperlink" Target="http://www.nevo.co.il/case/28378067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2024-04-07T09:01:00Z</dcterms:created>
  <dc:creator> </dc:creator>
  <dc:description/>
  <cp:keywords/>
  <dc:language>en-IL</dc:language>
  <cp:lastModifiedBy>h1</cp:lastModifiedBy>
  <dcterms:modified xsi:type="dcterms:W3CDTF">2024-04-07T09:01:00Z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מחאג'נה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28266138;28883087;27721185;28963593;28236735;28400048;28513828;28378067</vt:lpwstr>
  </property>
  <property fmtid="{D5CDD505-2E9C-101B-9397-08002B2CF9AE}" pid="9" name="CITY">
    <vt:lpwstr>חי'</vt:lpwstr>
  </property>
  <property fmtid="{D5CDD505-2E9C-101B-9397-08002B2CF9AE}" pid="10" name="DATE">
    <vt:lpwstr>20230314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70301/144.a;040c;040i;144.g:2;40ja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1716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390020230314</vt:lpwstr>
  </property>
  <property fmtid="{D5CDD505-2E9C-101B-9397-08002B2CF9AE}" pid="34" name="TYPE_N_DATE">
    <vt:lpwstr>39020230314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