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13"/>
        <w:gridCol w:w="440"/>
        <w:gridCol w:w="108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1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1729-07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בוטבול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0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חיפה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 בוטבול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ליטל אסס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ליאור בר זוהר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מהסניגוריה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הועמד לדין בגין שני אירועים של איומים שהתרחשו באותו 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כפר בעובדות כתב האישום ולאחר שמיעת מלוא הראיות החלטתי להרשיעו בעבירה שיוחסה לו בכתב האישום</w:t>
      </w:r>
      <w:r>
        <w:rPr>
          <w:rtl w:val="true"/>
        </w:rPr>
        <w:t xml:space="preserve">, </w:t>
      </w:r>
      <w:r>
        <w:rPr>
          <w:rtl w:val="true"/>
        </w:rPr>
        <w:t>באשר לשני האירועים הנפרדים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 עותרת לגזור על הנאשם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עונש של מאסר בפועל תוך שהינה מפנה לנסיבות בהן בוצע אחד ממעשי האיום וכן לעברו המכביד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עברו של הנאשם רצוף בהרשעות קודמות בעבירות שונות</w:t>
      </w:r>
      <w:r>
        <w:rPr>
          <w:rtl w:val="true"/>
        </w:rPr>
        <w:t xml:space="preserve">, </w:t>
      </w:r>
      <w:r>
        <w:rPr>
          <w:rtl w:val="true"/>
        </w:rPr>
        <w:t>לרבות עבירות של אלימות</w:t>
      </w:r>
      <w:r>
        <w:rPr>
          <w:rtl w:val="true"/>
        </w:rPr>
        <w:t xml:space="preserve">, </w:t>
      </w:r>
      <w:r>
        <w:rPr>
          <w:rtl w:val="true"/>
        </w:rPr>
        <w:t>כאשר עיקרן מופנה כלפי אנשי משטרה וכאשר מעשה תקיפת השוטרים שבגינו הורשע הנאשם בפעם האחרונה עובר להרשעתו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התרחש ביום </w:t>
      </w:r>
      <w:r>
        <w:rPr/>
        <w:t>6.4.02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בהתחשב במצבו הגופני הרעוע של הנאשם ובגילו</w:t>
      </w:r>
      <w:r>
        <w:rPr>
          <w:rtl w:val="true"/>
        </w:rPr>
        <w:t xml:space="preserve">, </w:t>
      </w:r>
      <w:r>
        <w:rPr>
          <w:rtl w:val="true"/>
        </w:rPr>
        <w:t xml:space="preserve">וכאשר חלפה תקופה ארוכה של קרוב </w:t>
      </w:r>
      <w:r>
        <w:rPr>
          <w:rtl w:val="true"/>
        </w:rPr>
        <w:br/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מאז התרחש האירועים ועד עתה</w:t>
      </w:r>
      <w:r>
        <w:rPr>
          <w:rtl w:val="true"/>
        </w:rPr>
        <w:t xml:space="preserve">, </w:t>
      </w:r>
      <w:r>
        <w:rPr>
          <w:rtl w:val="true"/>
        </w:rPr>
        <w:t>הנני סבורה כי ניתן להבטיח את שלום הציבור בכלל והמתלונן בפרט</w:t>
      </w:r>
      <w:r>
        <w:rPr>
          <w:rtl w:val="true"/>
        </w:rPr>
        <w:t xml:space="preserve">, </w:t>
      </w:r>
      <w:r>
        <w:rPr>
          <w:rtl w:val="true"/>
        </w:rPr>
        <w:t>על ידי ענישה מרתיעה</w:t>
      </w:r>
      <w:r>
        <w:rPr>
          <w:rtl w:val="true"/>
        </w:rPr>
        <w:t xml:space="preserve">, </w:t>
      </w:r>
      <w:r>
        <w:rPr>
          <w:rtl w:val="true"/>
        </w:rPr>
        <w:t>הצופה פני 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הנני דנה את הנאשם למאסר לתקופה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וזאת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התנאי הוא כי הנאשם לא יעבור אחת העבירות של אלימות כנגד גופו של אדם ו</w:t>
      </w:r>
      <w:r>
        <w:rPr>
          <w:rtl w:val="true"/>
        </w:rPr>
        <w:t>/</w:t>
      </w:r>
      <w:r>
        <w:rPr>
          <w:rtl w:val="true"/>
        </w:rPr>
        <w:t>או העבירה של 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כן הנני מחייבת את הנאשם לחתום על התחייבות על סך של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 xml:space="preserve">להמנע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מביצוען של עבירות אלימות ו</w:t>
      </w:r>
      <w:r>
        <w:rPr>
          <w:rtl w:val="true"/>
        </w:rPr>
        <w:t>/</w:t>
      </w:r>
      <w:r>
        <w:rPr>
          <w:rtl w:val="true"/>
        </w:rPr>
        <w:t>או איום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בהעדר חתימה </w:t>
      </w:r>
      <w:r>
        <w:rPr>
          <w:rtl w:val="true"/>
        </w:rPr>
        <w:t>–</w:t>
      </w:r>
      <w:r>
        <w:rPr>
          <w:rtl w:val="true"/>
        </w:rPr>
        <w:t xml:space="preserve"> יאסר הנאשם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והודעה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שבט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19/02/2009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b/>
          <w:bCs/>
          <w:szCs w:val="28"/>
          <w:u w:val="single"/>
        </w:rPr>
      </w:pPr>
      <w:r>
        <w:rPr>
          <w:b/>
          <w:b/>
          <w:bCs/>
          <w:szCs w:val="28"/>
          <w:u w:val="single"/>
          <w:rtl w:val="true"/>
        </w:rPr>
        <w:t>צו</w:t>
      </w:r>
    </w:p>
    <w:p>
      <w:pPr>
        <w:pStyle w:val="Normal"/>
        <w:spacing w:lineRule="auto" w:line="360"/>
        <w:ind w:end="0"/>
        <w:jc w:val="star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הנני מורה על השמדת המוצג – </w:t>
      </w:r>
      <w:r>
        <w:rPr>
          <w:rtl w:val="true"/>
        </w:rPr>
        <w:t>רובה צלילה</w:t>
      </w:r>
      <w:r>
        <w:rPr>
          <w:rtl w:val="true"/>
        </w:rPr>
        <w:t xml:space="preserve">, </w:t>
      </w:r>
      <w:r>
        <w:rPr>
          <w:rtl w:val="true"/>
        </w:rPr>
        <w:t>ששימש לביצועה של 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 לאחר תום תקופת הערעור שבתיק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שבט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רחל חוזה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פנינה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ברבי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/Users/liorb/Downloads/study2025-p2/SH-07-1729-A.doc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1729-07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ציון בוטבול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29-07"/>
    <w:docVar w:name="caseId" w:val="5159867"/>
    <w:docVar w:name="deriveClass" w:val="NGCS.Protocol.BL.Client.ProtocolBLClientCriminal"/>
    <w:docVar w:name="firstPageNumber" w:val="3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55239"/>
    <w:docVar w:name="releaseSign" w:val="0"/>
    <w:docVar w:name="sittingDateTime" w:val="19/02/2009 12:00     "/>
    <w:docVar w:name="sittingId" w:val="1234860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2009-02-21T20:51:00Z</dcterms:created>
  <dc:creator> </dc:creator>
  <dc:description/>
  <cp:keywords/>
  <dc:language>en-IL</dc:language>
  <cp:lastModifiedBy>hofit</cp:lastModifiedBy>
  <cp:lastPrinted>2009-02-19T12:35:00Z</cp:lastPrinted>
  <dcterms:modified xsi:type="dcterms:W3CDTF">2009-02-22T10:25:00Z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חיפה-משטרת ישראל</vt:lpwstr>
  </property>
  <property fmtid="{D5CDD505-2E9C-101B-9397-08002B2CF9AE}" pid="3" name="APPELLEE">
    <vt:lpwstr>ציון בוטבול</vt:lpwstr>
  </property>
  <property fmtid="{D5CDD505-2E9C-101B-9397-08002B2CF9AE}" pid="4" name="CITY">
    <vt:lpwstr>חי'</vt:lpwstr>
  </property>
  <property fmtid="{D5CDD505-2E9C-101B-9397-08002B2CF9AE}" pid="5" name="DATE">
    <vt:lpwstr>20090219</vt:lpwstr>
  </property>
  <property fmtid="{D5CDD505-2E9C-101B-9397-08002B2CF9AE}" pid="6" name="DELEMATA">
    <vt:lpwstr/>
  </property>
  <property fmtid="{D5CDD505-2E9C-101B-9397-08002B2CF9AE}" pid="7" name="JUDGE">
    <vt:lpwstr>רחל חוזה</vt:lpwstr>
  </property>
  <property fmtid="{D5CDD505-2E9C-101B-9397-08002B2CF9AE}" pid="8" name="LAWYER">
    <vt:lpwstr>ליטל אסס;ליאור בר זוהר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1729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1729</vt:lpwstr>
  </property>
  <property fmtid="{D5CDD505-2E9C-101B-9397-08002B2CF9AE}" pid="30" name="PROCYEAR">
    <vt:lpwstr>07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380020090219</vt:lpwstr>
  </property>
  <property fmtid="{D5CDD505-2E9C-101B-9397-08002B2CF9AE}" pid="34" name="TYPE_N_DATE">
    <vt:lpwstr>38020090219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