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17304-12-17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מוסה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סוכצקי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מוסה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– 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זילברשטיין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אבו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טביק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ואוזן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6" w:name="ABSTRACT_START"/>
      <w:bookmarkEnd w:id="6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cs="Calibri" w:ascii="Calibri" w:hAnsi="Calibri"/>
            <w:color w:val="0000FF"/>
            <w:u w:val="single"/>
          </w:rPr>
          <w:t>335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"], </w:t>
      </w:r>
      <w:r>
        <w:rPr>
          <w:rFonts w:ascii="Calibri" w:hAnsi="Calibri" w:cs="Calibri"/>
          <w:b/>
          <w:b/>
          <w:bCs/>
          <w:rtl w:val="true"/>
        </w:rPr>
        <w:t>פציעה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cs="Calibri" w:ascii="Calibri" w:hAnsi="Calibri"/>
            <w:color w:val="0000FF"/>
            <w:u w:val="single"/>
          </w:rPr>
          <w:t>335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שיופקד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1.6.17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נאספו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מוסא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סמיח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מוראד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מוסא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מוראד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ואחרים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מוסא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שזהותם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בלוד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בתגובה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בבטנו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bookmarkStart w:id="7" w:name="ABSTRACT_END"/>
      <w:bookmarkEnd w:id="7"/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חוסיין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מוסא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חוסיין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מרסיס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מוסא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אשרף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ואשרף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מוסא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בילאל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לצעוק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בילאל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למוראד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באפיגסטריום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ובקולון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אושפז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כשבוע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ראיות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ראיות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מטעם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Calibri" w:hAnsi="Calibri" w:cs="Calibri"/>
          <w:rtl w:val="true"/>
        </w:rPr>
        <w:t>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בדצמבר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25.11.17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ביולי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והרואין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בדיכאון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סיכום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אשפוז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מוראד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אושפז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2.6.17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כעבור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מוראד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בבטן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ונרשמו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לזכותו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David" w:cs="David" w:ascii="David" w:hAnsi="David"/>
          <w:rtl w:val="true"/>
        </w:rPr>
        <w:t xml:space="preserve">   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אשפוז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חוסיין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חוסיין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אושפז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רסיס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בצוואר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הרסיס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האשפוז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להשגחה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וטופל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באנטיביוטיקה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נרשמו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לזכותו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ראיות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מטעם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ההגנה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אחותו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כריסטין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שחוותה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תאונת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הגרעינית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מגובשת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לתאונת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שהתרחשה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מיטתה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ששהתה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נמרץ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וכשחזרה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השגיח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ממצבים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מסכני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תיארה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אוהב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ולשכנים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אהוב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סביבתו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הקרובים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שאחיה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הטובים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הוכחות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חוסיין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10.12.18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ראייתיים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לעמדות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חוסיין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ומוראד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תצהיר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להעיד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רפואית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ריבוי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עקב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צעידתו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ברחוב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שהבחין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מוראד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וחוסיין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פיסיות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ומשוללת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רסן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הצטייד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ויכולותיו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אשרף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ובילאל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מחלוקת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ברחוב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קופחו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והפקדת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מוראד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וחוסיין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בעיצומם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המניעים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נותרו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נסתרים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הטמון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מוסכם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25.11.17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4.7.18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4.2.19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שלשיטתה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25.11.17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4.7.18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4.2.19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ואילך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כשלהודאה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נחסכו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וסכסוכים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שמתגוררות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לרגיעה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כשהנכונות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הסניגור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ראייתיים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הסניגור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טכנאי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בלימודי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הנדסאות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התאונה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עזב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מבודד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נעשתה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סולחה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סולחה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המשפחות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שמבסס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העתירה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התביעה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מצטער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ומביע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חרטה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מאוד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גדולה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עכשיו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המשפחה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אמרתי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בטלפון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מצטער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ועשינו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הסולחה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מאורס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מתכוון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להתחתן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ולהקים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משפחה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רוצה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להמשיך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מהמקום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הפסקתי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והודיתי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בפניכם</w:t>
      </w:r>
      <w:r>
        <w:rPr>
          <w:rFonts w:cs="David" w:ascii="David" w:hAnsi="David"/>
          <w:b/>
          <w:bCs/>
          <w:rtl w:val="true"/>
        </w:rPr>
        <w:t xml:space="preserve">..."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והמשפחתיות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ותכניותיו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לעתיד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בזכותם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מבשרו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</w:p>
    <w:p>
      <w:pPr>
        <w:pStyle w:val="Normal"/>
        <w:ind w:start="1440" w:end="144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ובסביבת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/>
        <w:t>6.10.16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u w:val="single"/>
          <w:rtl w:val="true"/>
        </w:rPr>
        <w:t>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הקשורות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ומשולחת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כשהמניע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בסמיח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מוראד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בבטנו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חוסיין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בצווארו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אשרף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ובילאל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למוראד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ולחוסיין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ולמזלם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מבססים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המורשעים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ind w:start="1440" w:end="144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המתבטאת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>..." 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2918/13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18.7.13</w:t>
      </w:r>
      <w:r>
        <w:rPr>
          <w:rtl w:val="true"/>
        </w:rPr>
        <w:t xml:space="preserve">]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ind w:start="1440" w:end="144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מקומותינו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ולמגרה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קיפדו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זועק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32/14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17.9.15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).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   </w:t>
      </w:r>
      <w:r>
        <w:rPr>
          <w:rtl w:val="true"/>
        </w:rPr>
        <w:t>וכן</w:t>
      </w:r>
      <w:r>
        <w:rPr>
          <w:rtl w:val="true"/>
        </w:rPr>
        <w:t>:</w:t>
      </w:r>
    </w:p>
    <w:p>
      <w:pPr>
        <w:pStyle w:val="Normal"/>
        <w:ind w:start="1440" w:end="144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מתרחשות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הנקוטה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שהוצגו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4697/11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אלצאענע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24.3.13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  <w:b/>
          <w:bCs/>
          <w:rtl w:val="true"/>
        </w:rPr>
        <w:tab/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4701/16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סבלאן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25.10.17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): </w:t>
        <w:tab/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התגלע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גירושיו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ונישואיו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שנהגה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האירוע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הסתיים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חבלות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לרהיט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עבר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פלילי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ממשי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מהאישומים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שנערכה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מוגבל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ובחופף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" w:start="720" w:end="0"/>
        <w:jc w:val="both"/>
        <w:rPr/>
      </w:pP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6383/12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חאלד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29.9.14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למוסך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לרדוף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מאקדחו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לניתוח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מעודכן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בכעסים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ההסתבכות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firstLine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5717/14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מוסא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גדבאן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2.12.14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צועק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אושפז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גובסה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וציון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מועצמת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בפיסקה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1880/14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עמאש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19.11.04</w:t>
      </w:r>
      <w:r>
        <w:rPr>
          <w:rFonts w:cs="Calibri" w:ascii="Calibri" w:hAnsi="Calibri"/>
          <w:rtl w:val="true"/>
        </w:rPr>
        <w:t>],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האירוע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הסתיים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פגיעות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בנפש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4377/16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6.10.16</w:t>
      </w:r>
      <w:r>
        <w:rPr>
          <w:rFonts w:cs="Calibri" w:ascii="Calibri" w:hAnsi="Calibri"/>
          <w:rtl w:val="true"/>
        </w:rPr>
        <w:t xml:space="preserve">]: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לתגרה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עזבו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אך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האירוע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הסתיים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פגיעות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בנפש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התחדשה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כשלא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היו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פגיעות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25897-03-14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9.11.14</w:t>
      </w:r>
      <w:r>
        <w:rPr>
          <w:rFonts w:cs="Calibri" w:ascii="Calibri" w:hAnsi="Calibri"/>
          <w:rtl w:val="true"/>
        </w:rPr>
        <w:t>]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בוטל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בלוויית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במופגן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8766/14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2.3.16</w:t>
      </w:r>
      <w:r>
        <w:rPr>
          <w:rFonts w:cs="Calibri" w:ascii="Calibri" w:hAnsi="Calibri"/>
          <w:rtl w:val="true"/>
        </w:rPr>
        <w:t xml:space="preserve">]), </w:t>
      </w:r>
      <w:r>
        <w:rPr>
          <w:rFonts w:ascii="Calibri" w:hAnsi="Calibri" w:cs="Calibri"/>
          <w:rtl w:val="true"/>
        </w:rPr>
        <w:t>ובהמלצת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מהערעור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firstLine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באר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28139-10-13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אעמר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18.1.15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שכניו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ישובים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האירוע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הסתיים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נפגעים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בנפש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בעזרת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1244/15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באסל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אעמר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18.4.16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ind w:start="1440" w:end="144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>."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ind w:start="1440" w:end="144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בהנחיית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398-09-16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פיודורוב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5.4.17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לשוֹק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ויציאה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4026/17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פיודורוב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28.3.18</w:t>
      </w:r>
      <w:r>
        <w:rPr>
          <w:rFonts w:cs="Calibri" w:ascii="Calibri" w:hAnsi="Calibri"/>
          <w:rtl w:val="true"/>
        </w:rPr>
        <w:t xml:space="preserve">]), </w:t>
      </w:r>
      <w:r>
        <w:rPr>
          <w:rFonts w:ascii="Calibri" w:hAnsi="Calibri" w:cs="Calibri"/>
          <w:rtl w:val="true"/>
        </w:rPr>
        <w:t>ובהמלצת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מהערעור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13" w:end="0"/>
        <w:jc w:val="both"/>
        <w:rPr>
          <w:rFonts w:ascii="David" w:hAnsi="David" w:cs="David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54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ועד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7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לצד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פיצוי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משמעותי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  <w:tab/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13" w:end="0"/>
        <w:jc w:val="both"/>
        <w:rPr/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  <w:tab/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שדודו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חוסיין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שהפקיד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מוראד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חוסיין</w:t>
      </w:r>
      <w:r>
        <w:rPr>
          <w:rFonts w:cs="Calibri" w:ascii="Calibri" w:hAnsi="Calibri"/>
          <w:rtl w:val="true"/>
        </w:rPr>
        <w:t xml:space="preserve">.  </w:t>
        <w:tab/>
        <w:tab/>
      </w:r>
    </w:p>
    <w:p>
      <w:pPr>
        <w:pStyle w:val="Normal"/>
        <w:spacing w:lineRule="auto" w:line="360"/>
        <w:ind w:hanging="720" w:start="713" w:end="0"/>
        <w:jc w:val="both"/>
        <w:rPr/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ללימודי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הגרעינית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כשעמדותיו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ועיבודן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דווקא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13" w:end="0"/>
        <w:jc w:val="both"/>
        <w:rPr/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איפשרתי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שהתקיימה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אתמול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רושי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ופתרון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קהילתיים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13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רושי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רושי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מבססת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13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מתנגדים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22.5.19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יוזכר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עשוי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תחליף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4131/13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שמארי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13.3.14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הקהילתי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כשהבעייתיות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בישיבת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13.9.18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בתהליך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ועיבודן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שוקפו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מקצועי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להבהיר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רושי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הקהילתי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והציבורי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   </w:t>
      </w:r>
    </w:p>
    <w:p>
      <w:pPr>
        <w:pStyle w:val="Normal"/>
        <w:spacing w:lineRule="auto" w:line="360"/>
        <w:ind w:hanging="720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13" w:end="0"/>
        <w:jc w:val="both"/>
        <w:rPr/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רגילות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מוסכמים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והאירועים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 xml:space="preserve">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  <w:tab/>
      </w:r>
      <w:r>
        <w:rPr>
          <w:rFonts w:ascii="Symbol" w:hAnsi="Symbol" w:cs="Symbol"/>
          <w:rtl w:val="true"/>
        </w:rPr>
        <w:sym w:font="Symbol" w:char="5dc"/>
        <w:sym w:font="Symbol" w:char="5d0"/>
        <w:sym w:font="Symbol" w:char="5d7"/>
        <w:sym w:font="Symbol" w:char="5e8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e9"/>
        <w:sym w:font="Symbol" w:char="5e7"/>
        <w:sym w:font="Symbol" w:char="5dc"/>
        <w:sym w:font="Symbol" w:char="5ea"/>
        <w:sym w:font="Symbol" w:char="5d9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e"/>
        <w:sym w:font="Symbol" w:char="5db"/>
        <w:sym w:font="Symbol" w:char="5dc"/>
        <w:sym w:font="Symbol" w:char="5d5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9"/>
        <w:sym w:font="Symbol" w:char="5d9"/>
        <w:sym w:font="Symbol" w:char="5e7"/>
        <w:sym w:font="Symbol" w:char="5d5"/>
        <w:sym w:font="Symbol" w:char="5dc"/>
        <w:sym w:font="Symbol" w:char="5d9"/>
        <w:sym w:font="Symbol" w:char="5dd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b"/>
        <w:sym w:font="Symbol" w:char="5e9"/>
        <w:sym w:font="Symbol" w:char="5d4"/>
        <w:sym w:font="Symbol" w:char="5ea"/>
        <w:sym w:font="Symbol" w:char="5d7"/>
        <w:sym w:font="Symbol" w:char="5e9"/>
        <w:sym w:font="Symbol" w:char="5d1"/>
        <w:sym w:font="Symbol" w:char="5ea"/>
        <w:sym w:font="Symbol" w:char="5d9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1"/>
        <w:sym w:font="Symbol" w:char="5d9"/>
        <w:sym w:font="Symbol" w:char="5df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9"/>
        <w:sym w:font="Symbol" w:char="5d0"/>
        <w:sym w:font="Symbol" w:char="5e8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1"/>
        <w:sym w:font="Symbol" w:char="5e0"/>
        <w:sym w:font="Symbol" w:char="5e1"/>
        <w:sym w:font="Symbol" w:char="5d9"/>
        <w:sym w:font="Symbol" w:char="5d1"/>
        <w:sym w:font="Symbol" w:char="5d5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de"/>
        <w:sym w:font="Symbol" w:char="5e2"/>
        <w:sym w:font="Symbol" w:char="5e9"/>
        <w:sym w:font="Symbol" w:char="5d9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5"/>
        <w:sym w:font="Symbol" w:char="5d4"/>
        <w:sym w:font="Symbol" w:char="5e2"/>
        <w:sym w:font="Symbol" w:char="5d5"/>
        <w:sym w:font="Symbol" w:char="5e9"/>
        <w:sym w:font="Symbol" w:char="5d4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ea"/>
        <w:sym w:font="Symbol" w:char="5d5"/>
        <w:sym w:font="Symbol" w:char="5d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de"/>
        <w:sym w:font="Symbol" w:char="5d9"/>
        <w:sym w:font="Symbol" w:char="5e8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9"/>
        <w:sym w:font="Symbol" w:char="5d7"/>
        <w:sym w:font="Symbol" w:char="5e1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d5"/>
        <w:sym w:font="Symbol" w:char="5dc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1"/>
        <w:sym w:font="Symbol" w:char="5d9"/>
        <w:sym w:font="Symbol" w:char="5df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7"/>
        <w:sym w:font="Symbol" w:char="5d5"/>
        <w:sym w:font="Symbol" w:char="5de"/>
        <w:sym w:font="Symbol" w:char="5e8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e"/>
        <w:sym w:font="Symbol" w:char="5db"/>
        <w:sym w:font="Symbol" w:char="5dc"/>
        <w:sym w:font="Symbol" w:char="5d5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de"/>
        <w:sym w:font="Symbol" w:char="5e2"/>
        <w:sym w:font="Symbol" w:char="5e9"/>
        <w:sym w:font="Symbol" w:char="5d9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5"/>
        <w:sym w:font="Symbol" w:char="5de"/>
        <w:sym w:font="Symbol" w:char="5d9"/>
        <w:sym w:font="Symbol" w:char="5d3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9"/>
        <w:sym w:font="Symbol" w:char="5de"/>
        <w:sym w:font="Symbol" w:char="5d5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0"/>
        <w:sym w:font="Symbol" w:char="5d0"/>
        <w:sym w:font="Symbol" w:char="5e9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c"/>
        <w:sym w:font="Symbol" w:char="5d1"/>
        <w:sym w:font="Symbol" w:char="5d9"/>
        <w:sym w:font="Symbol" w:char="5df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a"/>
        <w:sym w:font="Symbol" w:char="5e7"/>
        <w:sym w:font="Symbol" w:char="5d5"/>
        <w:sym w:font="Symbol" w:char="5e4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de"/>
        <w:sym w:font="Symbol" w:char="5d0"/>
        <w:sym w:font="Symbol" w:char="5e1"/>
        <w:sym w:font="Symbol" w:char="5e8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e2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0"/>
        <w:sym w:font="Symbol" w:char="5d0"/>
        <w:sym w:font="Symbol" w:char="5e9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c"/>
        <w:sym w:font="Symbol" w:char="5e9"/>
        <w:sym w:font="Symbol" w:char="5d0"/>
        <w:sym w:font="Symbol" w:char="5ea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0"/>
        <w:sym w:font="Symbol" w:char="5d9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2"/>
        <w:sym w:font="Symbol" w:char="5d5"/>
        <w:sym w:font="Symbol" w:char="5d6"/>
        <w:sym w:font="Symbol" w:char="5e8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3"/>
        <w:sym w:font="Symbol" w:char="5d9"/>
        <w:sym w:font="Symbol" w:char="5e0"/>
        <w:sym w:font="Symbol" w:char="5d5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0"/>
        <w:sym w:font="Symbol" w:char="5d0"/>
        <w:sym w:font="Symbol" w:char="5e9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b"/>
        <w:sym w:font="Symbol" w:char="5d3"/>
        <w:sym w:font="Symbol" w:char="5dc"/>
        <w:sym w:font="Symbol" w:char="5e7"/>
        <w:sym w:font="Symbol" w:char="5de"/>
        <w:sym w:font="Symbol" w:char="5df"/>
      </w:r>
      <w:r>
        <w:rPr>
          <w:rFonts w:cs="Symbol" w:ascii="Symbol" w:hAnsi="Symbol"/>
          <w:rtl w:val="true"/>
        </w:rPr>
        <w:sym w:font="Symbol" w:char="3a"/>
        <w:sym w:font="Symbol" w:char="20"/>
      </w:r>
    </w:p>
    <w:p>
      <w:pPr>
        <w:pStyle w:val="Normal"/>
        <w:spacing w:lineRule="auto" w:line="360"/>
        <w:ind w:start="-7"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02" w:end="0"/>
        <w:jc w:val="both"/>
        <w:rPr/>
      </w:pP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25.11.17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4.7.18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4.2.19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start="702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13" w:end="0"/>
        <w:jc w:val="both"/>
        <w:rPr/>
      </w:pPr>
      <w:r>
        <w:rPr>
          <w:rFonts w:ascii="David" w:hAnsi="David"/>
          <w:rtl w:val="true"/>
        </w:rPr>
        <w:t>הסכום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שהופקד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יחולק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שהמזכירות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תעביר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מוראד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– </w:t>
      </w:r>
      <w:r>
        <w:rPr>
          <w:rFonts w:cs="David" w:ascii="David" w:hAnsi="David"/>
        </w:rPr>
        <w:t>10000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חוסיין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תמסור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למזכירות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" w:start="720" w:end="0"/>
        <w:jc w:val="both"/>
        <w:rPr/>
      </w:pP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למוצגים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כמבוקש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לשמור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הדיסקים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דגימות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ונעלי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כרטיס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ופלאפון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לבעלים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תרמיל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וכדור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להשמיד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-7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הודעה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זכות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ערעור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המשפט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העליון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תוך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8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</w:t>
      </w:r>
      <w:bookmarkEnd w:id="8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17304-12-17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אחמד אבו מוסה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4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34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c.a" TargetMode="External"/><Relationship Id="rId18" Type="http://schemas.openxmlformats.org/officeDocument/2006/relationships/hyperlink" Target="http://www.nevo.co.il/case/21474922" TargetMode="External"/><Relationship Id="rId19" Type="http://schemas.openxmlformats.org/officeDocument/2006/relationships/hyperlink" Target="http://www.nevo.co.il/law/70301/40i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6950458" TargetMode="External"/><Relationship Id="rId22" Type="http://schemas.openxmlformats.org/officeDocument/2006/relationships/hyperlink" Target="http://www.nevo.co.il/case/20291305" TargetMode="External"/><Relationship Id="rId23" Type="http://schemas.openxmlformats.org/officeDocument/2006/relationships/hyperlink" Target="http://www.nevo.co.il/case/5753941" TargetMode="External"/><Relationship Id="rId24" Type="http://schemas.openxmlformats.org/officeDocument/2006/relationships/hyperlink" Target="http://www.nevo.co.il/case/21475354" TargetMode="External"/><Relationship Id="rId25" Type="http://schemas.openxmlformats.org/officeDocument/2006/relationships/hyperlink" Target="http://www.nevo.co.il/case/5590183" TargetMode="External"/><Relationship Id="rId26" Type="http://schemas.openxmlformats.org/officeDocument/2006/relationships/hyperlink" Target="http://www.nevo.co.il/case/17948201" TargetMode="External"/><Relationship Id="rId27" Type="http://schemas.openxmlformats.org/officeDocument/2006/relationships/hyperlink" Target="http://www.nevo.co.il/case/18653904" TargetMode="External"/><Relationship Id="rId28" Type="http://schemas.openxmlformats.org/officeDocument/2006/relationships/hyperlink" Target="http://www.nevo.co.il/case/21474922" TargetMode="External"/><Relationship Id="rId29" Type="http://schemas.openxmlformats.org/officeDocument/2006/relationships/hyperlink" Target="http://www.nevo.co.il/case/13051735" TargetMode="External"/><Relationship Id="rId30" Type="http://schemas.openxmlformats.org/officeDocument/2006/relationships/hyperlink" Target="http://www.nevo.co.il/case/18749870" TargetMode="External"/><Relationship Id="rId31" Type="http://schemas.openxmlformats.org/officeDocument/2006/relationships/hyperlink" Target="http://www.nevo.co.il/case/8437593" TargetMode="External"/><Relationship Id="rId32" Type="http://schemas.openxmlformats.org/officeDocument/2006/relationships/hyperlink" Target="http://www.nevo.co.il/case/20033653" TargetMode="External"/><Relationship Id="rId33" Type="http://schemas.openxmlformats.org/officeDocument/2006/relationships/hyperlink" Target="http://www.nevo.co.il/case/21531325" TargetMode="External"/><Relationship Id="rId34" Type="http://schemas.openxmlformats.org/officeDocument/2006/relationships/hyperlink" Target="http://www.nevo.co.il/case/22690196" TargetMode="External"/><Relationship Id="rId35" Type="http://schemas.openxmlformats.org/officeDocument/2006/relationships/hyperlink" Target="http://www.nevo.co.il/law/70301/40j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7674250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2019-12-29T09:37:00Z</dcterms:created>
  <dc:creator> </dc:creator>
  <dc:description/>
  <cp:keywords/>
  <dc:language>en-IL</dc:language>
  <cp:lastModifiedBy>yafit</cp:lastModifiedBy>
  <dcterms:modified xsi:type="dcterms:W3CDTF">2019-12-29T09:37:00Z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אבו מוסה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21474922:2;6950458;20291305;5753941;21475354;5590183;17948201;18653904;13051735;18749870;8437593;20033653;21531325;22690196;7674250</vt:lpwstr>
  </property>
  <property fmtid="{D5CDD505-2E9C-101B-9397-08002B2CF9AE}" pid="9" name="CITY">
    <vt:lpwstr>מרכז</vt:lpwstr>
  </property>
  <property fmtid="{D5CDD505-2E9C-101B-9397-08002B2CF9AE}" pid="10" name="DATE">
    <vt:lpwstr>20190530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70301/333;335.a.1:2;334;144.b;040c.a;040i.a;40ja</vt:lpwstr>
  </property>
  <property fmtid="{D5CDD505-2E9C-101B-9397-08002B2CF9AE}" pid="15" name="LAWYER">
    <vt:lpwstr>סוכצקי;זילברשטיין;אבו טביק ואוזן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17304</vt:lpwstr>
  </property>
  <property fmtid="{D5CDD505-2E9C-101B-9397-08002B2CF9AE}" pid="22" name="NEWPARTB">
    <vt:lpwstr>12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390020190530</vt:lpwstr>
  </property>
  <property fmtid="{D5CDD505-2E9C-101B-9397-08002B2CF9AE}" pid="34" name="TYPE_N_DATE">
    <vt:lpwstr>39020190530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