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17318-02-11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תיים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תיים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מורן רייצ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 כנעאנה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הובאו באמצעות הליווי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09-02-2011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28-02-2011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לידאוי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מוחמד תיים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לידאוי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16-03-2011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תיים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דוד חשין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פסטרנק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17-03-2011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לידאוי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29-05-2011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פסטרנק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17-07-2011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28-07-2011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14-09-2011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26-09-2011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6541/11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תיים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09-02-2011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28-02-2011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לידאוי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מוחמד תיים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לידאוי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16-03-2011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תיים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דוד חשין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פסטרנק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17-03-2011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לידאוי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29-05-2011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פסטרנק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17-07-2011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28-07-2011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14-09-2011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26-09-2011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6541/11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תיים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06-11-2011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6541/11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תיים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3" w:name="Links_Start"/>
      <w:bookmarkStart w:id="4" w:name="Links_Start"/>
      <w:bookmarkEnd w:id="4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09-02-2011</w:t>
      </w:r>
      <w:r>
        <w:rPr>
          <w:rFonts w:cs="FrankRuehl" w:ascii="FrankRuehl" w:hAnsi="FrankRuehl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28-02-2011</w:t>
      </w:r>
      <w:r>
        <w:rPr>
          <w:rFonts w:cs="FrankRuehl" w:ascii="FrankRuehl" w:hAnsi="FrankRuehl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לידאוי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מוחמד תיים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לידאוי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16-03-2011</w:t>
      </w:r>
      <w:r>
        <w:rPr>
          <w:rFonts w:cs="FrankRuehl" w:ascii="FrankRuehl" w:hAnsi="FrankRuehl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תיים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דוד חשין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פסטרנק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17-03-2011</w:t>
      </w:r>
      <w:r>
        <w:rPr>
          <w:rFonts w:cs="FrankRuehl" w:ascii="FrankRuehl" w:hAnsi="FrankRuehl"/>
          <w:rtl w:val="true"/>
        </w:rPr>
        <w:t xml:space="preserve">): </w:t>
      </w:r>
      <w:hyperlink r:id="rId2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3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לידאוי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29-05-2011</w:t>
      </w:r>
      <w:r>
        <w:rPr>
          <w:rFonts w:cs="FrankRuehl" w:ascii="FrankRuehl" w:hAnsi="FrankRuehl"/>
          <w:rtl w:val="true"/>
        </w:rPr>
        <w:t xml:space="preserve">): </w:t>
      </w:r>
      <w:hyperlink r:id="rId3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פסטרנק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17-07-2011</w:t>
      </w:r>
      <w:r>
        <w:rPr>
          <w:rFonts w:cs="FrankRuehl" w:ascii="FrankRuehl" w:hAnsi="FrankRuehl"/>
          <w:rtl w:val="true"/>
        </w:rPr>
        <w:t xml:space="preserve">): </w:t>
      </w:r>
      <w:hyperlink r:id="rId3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28-07-2011</w:t>
      </w:r>
      <w:r>
        <w:rPr>
          <w:rFonts w:cs="FrankRuehl" w:ascii="FrankRuehl" w:hAnsi="FrankRuehl"/>
          <w:rtl w:val="true"/>
        </w:rPr>
        <w:t xml:space="preserve">): </w:t>
      </w:r>
      <w:hyperlink r:id="rId3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14-09-2011</w:t>
      </w:r>
      <w:r>
        <w:rPr>
          <w:rFonts w:cs="FrankRuehl" w:ascii="FrankRuehl" w:hAnsi="FrankRuehl"/>
          <w:rtl w:val="true"/>
        </w:rPr>
        <w:t xml:space="preserve">): </w:t>
      </w:r>
      <w:hyperlink r:id="rId3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17318-02-11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תיים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מורן רייצ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26-09-2011</w:t>
      </w:r>
      <w:r>
        <w:rPr>
          <w:rFonts w:cs="FrankRuehl" w:ascii="FrankRuehl" w:hAnsi="FrankRuehl"/>
          <w:rtl w:val="true"/>
        </w:rPr>
        <w:t xml:space="preserve">): </w:t>
      </w:r>
      <w:hyperlink r:id="rId3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6541/11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תיים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פרוש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ויסאם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06-11-2011</w:t>
      </w:r>
      <w:r>
        <w:rPr>
          <w:rFonts w:cs="FrankRuehl" w:ascii="FrankRuehl" w:hAnsi="FrankRuehl"/>
          <w:rtl w:val="true"/>
        </w:rPr>
        <w:t xml:space="preserve">): </w:t>
      </w:r>
      <w:hyperlink r:id="rId3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6541/11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תיים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פרוש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ויסאם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21-12-2011</w:t>
      </w:r>
      <w:r>
        <w:rPr>
          <w:rFonts w:cs="FrankRuehl" w:ascii="FrankRuehl" w:hAnsi="FrankRuehl"/>
          <w:rtl w:val="true"/>
        </w:rPr>
        <w:t xml:space="preserve">): </w:t>
      </w:r>
      <w:hyperlink r:id="rId3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6541/11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מוחמד תיים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פרוש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ויסאם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inks_End"/>
      <w:bookmarkStart w:id="6" w:name="Links_End"/>
      <w:bookmarkEnd w:id="6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11" w:name="Links_Start"/>
      <w:bookmarkStart w:id="12" w:name="Links_Start"/>
      <w:bookmarkEnd w:id="12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3" w:name="PsakDin"/>
      <w:bookmarkEnd w:id="1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bookmarkStart w:id="14" w:name="PsakDin"/>
      <w:bookmarkEnd w:id="14"/>
      <w:r>
        <w:rPr>
          <w:b/>
          <w:b/>
          <w:bCs/>
          <w:u w:val="single"/>
          <w:rtl w:val="true"/>
        </w:rPr>
        <w:t>פתח דבר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במסגרת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בעובדות כתב אישום מתוקן המייחס לו עבירה של </w:t>
      </w:r>
      <w:r>
        <w:rPr>
          <w:b/>
          <w:b/>
          <w:bCs/>
          <w:rtl w:val="true"/>
        </w:rPr>
        <w:t>קשירת קשר לפשע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</w:t>
      </w:r>
      <w:hyperlink r:id="rId4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b/>
          <w:b/>
          <w:bCs/>
          <w:rtl w:val="true"/>
        </w:rPr>
        <w:t xml:space="preserve">עבירות בנשק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ועסקה אחרת</w:t>
      </w:r>
      <w:r>
        <w:rPr>
          <w:b/>
          <w:bCs/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4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b/>
          <w:b/>
          <w:bCs/>
          <w:rtl w:val="true"/>
        </w:rPr>
        <w:t xml:space="preserve">עבירות בנשק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4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>+</w:t>
      </w:r>
      <w:r>
        <w:rPr>
          <w:rtl w:val="true"/>
        </w:rPr>
        <w:t>סיפא לחוק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פי המפורט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הנאשם קשר עם באסל מוקטראן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באסל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ואחיו איסלאם מוקטראן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איסלאם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לביצוע עבירות פליליות למטרות רווח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עמדו באסל ואיסלאם במרכזו של 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הפועל בשיטתיות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בתבנית היררכית ומתמשכת לביצוע עבירות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הכוללות 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תיקון והובלת נשק לאחרים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נשק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באסל עמד בראש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את אנשיו ופיקח עליהם באמצעות איסלאם אשר שימש כיד ימינו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וביצע את הוראותיו של באסל וביצע בשליחותו פעולות הקשורות לעבירות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יצר באסל קשר עם סוחרי נשק אחרים שפעלו במקביל לו תוך יחסי גומלין ביניהם ושיתוף פעולה הדדי למצבור כלי נשק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וסחר בו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באסל היה בעל מומחיות וידע בתיקון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הרכבתם ושימש מומחה לכל בעיה טכנית או תקלה אליו הגיעו אחרים לשם תיקון כלי נשק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פעלו באסל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איסלאם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ואחרים בשיטתיות ונקטו אמצעי זהירות מובהקים בביצוע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שימוש בביטויים וקודים המוכרים רק להם ולאחרים עימם קשרו את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הקפדה על קשירת קשר רק עם אחרים המוכרים להם היטב ואלה שימשו על פי 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בלדרים או סוחרי נשק עצמאיים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והחזקת כלי נשק במקומות מסתור מחוץ לבתיהם של באסל ואיסלאם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ולעתים מסירת כלי הנשק והתחמושת להחזקת ומשמורת עבורם אצל החיילים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מרבית העסקאות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החזקתם ומקומות המפגש התקיימו ברפת או בסמוך 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עובר למועד הרלוונטי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שררה קרבה משפחתית בין הנאשם לבין באסל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גיסו ומוכר לו כסוחר בנשק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ללא היתר וכמי שבקיא בתיקון כלי נשק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במועדים הרלוונטיים לכתב האישום ובמהלך התקופה שבין 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14.10.10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1.1.11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שימש הנאשם כחייל 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ותפקידו היה לסייע בקידום ומימוש עסקאות מכירת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שנרקמו על ידי באסל עם אחרים ולמלא אחר הוראותיו בכל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במספר רב של הזדמנויות כמפורט בהרחבה בכתב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 הסדר הטיעון סוכם בין הצדדים</w:t>
      </w:r>
      <w:r>
        <w:rPr>
          <w:rtl w:val="true"/>
        </w:rPr>
        <w:t xml:space="preserve">, </w:t>
      </w:r>
      <w:r>
        <w:rPr>
          <w:rtl w:val="true"/>
        </w:rPr>
        <w:t xml:space="preserve">כי המאשימה תעתור לעונש מאסר בפועל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בנוסף לעונשים נלווים</w:t>
      </w:r>
      <w:r>
        <w:rPr>
          <w:rtl w:val="true"/>
        </w:rPr>
        <w:t xml:space="preserve">, </w:t>
      </w:r>
      <w:r>
        <w:rPr>
          <w:rtl w:val="true"/>
        </w:rPr>
        <w:t>ואילו הסנגור יטען באופן חופשי</w:t>
      </w:r>
      <w:r>
        <w:rPr>
          <w:rtl w:val="true"/>
        </w:rPr>
        <w:t xml:space="preserve">, </w:t>
      </w:r>
      <w:r>
        <w:rPr>
          <w:rtl w:val="true"/>
        </w:rPr>
        <w:t>כשבית המשפט יגזור את דינו של הנאשם בהתאם לשיקול דעתו</w:t>
      </w:r>
      <w:r>
        <w:rPr>
          <w:rtl w:val="true"/>
        </w:rPr>
        <w:t xml:space="preserve">, </w:t>
      </w:r>
      <w:r>
        <w:rPr>
          <w:rtl w:val="true"/>
        </w:rPr>
        <w:t>וזאת לאחר קבלת תסקיר שירות המבחן מפאת גילו של הנאשם</w:t>
      </w:r>
      <w:r>
        <w:rPr>
          <w:rtl w:val="true"/>
        </w:rPr>
        <w:t xml:space="preserve">, </w:t>
      </w:r>
      <w:r>
        <w:rPr>
          <w:rtl w:val="true"/>
        </w:rPr>
        <w:t>ולאחר טיעוני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תסקיר שירות המבחן מלמד כי מדובר בנאשם צעיר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tl w:val="true"/>
        </w:rPr>
        <w:t xml:space="preserve">, </w:t>
      </w:r>
      <w:r>
        <w:rPr>
          <w:rtl w:val="true"/>
        </w:rPr>
        <w:t>תושב הכפר כנא</w:t>
      </w:r>
      <w:r>
        <w:rPr>
          <w:rtl w:val="true"/>
        </w:rPr>
        <w:t xml:space="preserve">. </w:t>
      </w:r>
      <w:r>
        <w:rPr>
          <w:rtl w:val="true"/>
        </w:rPr>
        <w:t>בפני קצינת המבחן קיבל הנאשם אחריות למעשים המיוחסים לו</w:t>
      </w:r>
      <w:r>
        <w:rPr>
          <w:rtl w:val="true"/>
        </w:rPr>
        <w:t xml:space="preserve">.  </w:t>
      </w:r>
      <w:r>
        <w:rPr>
          <w:rtl w:val="true"/>
        </w:rPr>
        <w:t>לטענת הנאשם</w:t>
      </w:r>
      <w:r>
        <w:rPr>
          <w:rtl w:val="true"/>
        </w:rPr>
        <w:t xml:space="preserve">, </w:t>
      </w:r>
      <w:r>
        <w:rPr>
          <w:rtl w:val="true"/>
        </w:rPr>
        <w:t>עת נודע לו כי גיסו מתעסק בנשק</w:t>
      </w:r>
      <w:r>
        <w:rPr>
          <w:rtl w:val="true"/>
        </w:rPr>
        <w:t xml:space="preserve">, </w:t>
      </w:r>
      <w:r>
        <w:rPr>
          <w:rtl w:val="true"/>
        </w:rPr>
        <w:t xml:space="preserve">בחר לעבוד איתו על מנת לעשות </w:t>
      </w:r>
      <w:r>
        <w:rPr>
          <w:rtl w:val="true"/>
        </w:rPr>
        <w:t>"</w:t>
      </w:r>
      <w:r>
        <w:rPr>
          <w:rtl w:val="true"/>
        </w:rPr>
        <w:t>כסף קטן</w:t>
      </w:r>
      <w:r>
        <w:rPr>
          <w:rtl w:val="true"/>
        </w:rPr>
        <w:t xml:space="preserve">" </w:t>
      </w:r>
      <w:r>
        <w:rPr>
          <w:rtl w:val="true"/>
        </w:rPr>
        <w:t>ולעזור לארוסתו לממן את לימודיה האקדמאיים</w:t>
      </w:r>
      <w:r>
        <w:rPr>
          <w:rtl w:val="true"/>
        </w:rPr>
        <w:t xml:space="preserve">. </w:t>
      </w:r>
      <w:r>
        <w:rPr>
          <w:rtl w:val="true"/>
        </w:rPr>
        <w:t>הנאשם הביע חרטה בפני קצינת המבחן</w:t>
      </w:r>
      <w:r>
        <w:rPr>
          <w:rtl w:val="true"/>
        </w:rPr>
        <w:t xml:space="preserve">, </w:t>
      </w:r>
      <w:r>
        <w:rPr>
          <w:rtl w:val="true"/>
        </w:rPr>
        <w:t>וטען כי התנהגותו נבעה בעיקר מטיפשות וחוסר שיקול דעת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שירות המבחן התרשם מנאשם שלכאורה הצהיר על קבלת אחריות וחרטה על מעשיו</w:t>
      </w:r>
      <w:r>
        <w:rPr>
          <w:rtl w:val="true"/>
        </w:rPr>
        <w:t xml:space="preserve">, </w:t>
      </w:r>
      <w:r>
        <w:rPr>
          <w:rtl w:val="true"/>
        </w:rPr>
        <w:t>אך התקשה להבין את מניעיו למעורבות</w:t>
      </w:r>
      <w:r>
        <w:rPr>
          <w:rtl w:val="true"/>
        </w:rPr>
        <w:t xml:space="preserve">, </w:t>
      </w:r>
      <w:r>
        <w:rPr>
          <w:rtl w:val="true"/>
        </w:rPr>
        <w:t>ואף נתקל בהתנגדות והכחשות מצידו</w:t>
      </w:r>
      <w:r>
        <w:rPr>
          <w:rtl w:val="true"/>
        </w:rPr>
        <w:t xml:space="preserve">. </w:t>
      </w:r>
      <w:r>
        <w:rPr>
          <w:rtl w:val="true"/>
        </w:rPr>
        <w:t>כמצוין בתסקיר</w:t>
      </w:r>
      <w:r>
        <w:rPr>
          <w:rtl w:val="true"/>
        </w:rPr>
        <w:t xml:space="preserve">, </w:t>
      </w:r>
      <w:r>
        <w:rPr>
          <w:rtl w:val="true"/>
        </w:rPr>
        <w:t>נמנע הנאשם מתגובות באשר לרקע המשפחתי</w:t>
      </w:r>
      <w:r>
        <w:rPr>
          <w:rtl w:val="true"/>
        </w:rPr>
        <w:t xml:space="preserve">, </w:t>
      </w:r>
      <w:r>
        <w:rPr>
          <w:rtl w:val="true"/>
        </w:rPr>
        <w:t>טיב הקשר עם הוריו והתמקד בעיקר בדאגות הקשורות לסיום ההליך המשפטי</w:t>
      </w:r>
      <w:r>
        <w:rPr>
          <w:rtl w:val="true"/>
        </w:rPr>
        <w:t xml:space="preserve">, </w:t>
      </w:r>
      <w:r>
        <w:rPr>
          <w:rtl w:val="true"/>
        </w:rPr>
        <w:t>תוך התחברות לנזקים ולמחיר האישי שהוא משלם</w:t>
      </w:r>
      <w:r>
        <w:rPr>
          <w:rtl w:val="true"/>
        </w:rPr>
        <w:t xml:space="preserve">, </w:t>
      </w:r>
      <w:r>
        <w:rPr>
          <w:rtl w:val="true"/>
        </w:rPr>
        <w:t>ללא קשר לפגיעה שלו באחר כתוצאה מהמעשים</w:t>
      </w:r>
      <w:r>
        <w:rPr>
          <w:rtl w:val="true"/>
        </w:rPr>
        <w:t xml:space="preserve">. </w:t>
      </w:r>
      <w:r>
        <w:rPr>
          <w:rtl w:val="true"/>
        </w:rPr>
        <w:t>שירות המבחן מתרשם כי הנאשם נעדר גבול פנימי ולא מכיר בפסול שבהתנהגותו</w:t>
      </w:r>
      <w:r>
        <w:rPr>
          <w:rtl w:val="true"/>
        </w:rPr>
        <w:t xml:space="preserve">, </w:t>
      </w:r>
      <w:r>
        <w:rPr>
          <w:rtl w:val="true"/>
        </w:rPr>
        <w:t>בעוד שההליך המשפטי ומעצרו היוו גורם מרתיע עבורו</w:t>
      </w:r>
      <w:r>
        <w:rPr>
          <w:rtl w:val="true"/>
        </w:rPr>
        <w:t xml:space="preserve">, </w:t>
      </w:r>
      <w:r>
        <w:rPr>
          <w:rtl w:val="true"/>
        </w:rPr>
        <w:t>ויצרו גבול חיצוני מוחשי הנחוץ לו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שירות המבחן נמנע מהמלצה בהליך טיפולי</w:t>
      </w:r>
      <w:r>
        <w:rPr>
          <w:rtl w:val="true"/>
        </w:rPr>
        <w:t xml:space="preserve">, </w:t>
      </w:r>
      <w:r>
        <w:rPr>
          <w:rtl w:val="true"/>
        </w:rPr>
        <w:t xml:space="preserve">והעריך 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ענישה חיצונית מרתיעה ובעלת גבולות ברורים ומוחשיים בדמות של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וקנס כספי הולם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עשויה להיות יעילה בהפחתת הסיכוי להישנות התנהגות דומה בעתיד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240" w:after="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ציין בטיעוניו את עיקרי הפרשה המסועפת</w:t>
      </w:r>
      <w:r>
        <w:rPr>
          <w:rtl w:val="true"/>
        </w:rPr>
        <w:t xml:space="preserve">, </w:t>
      </w:r>
      <w:r>
        <w:rPr>
          <w:rtl w:val="true"/>
        </w:rPr>
        <w:t xml:space="preserve">שהביאה להגשת כתבי אישום רבים כנגד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נאשמים במגוון עבירות נשק</w:t>
      </w:r>
      <w:r>
        <w:rPr>
          <w:rtl w:val="true"/>
        </w:rPr>
        <w:t xml:space="preserve">, </w:t>
      </w:r>
      <w:r>
        <w:rPr>
          <w:rtl w:val="true"/>
        </w:rPr>
        <w:t>ביניהם הנאשם</w:t>
      </w:r>
      <w:r>
        <w:rPr>
          <w:rtl w:val="true"/>
        </w:rPr>
        <w:t xml:space="preserve">, </w:t>
      </w:r>
      <w:r>
        <w:rPr>
          <w:rtl w:val="true"/>
        </w:rPr>
        <w:t>שהינו גיסם של באסל ואיסלאם מוקטרן</w:t>
      </w:r>
      <w:r>
        <w:rPr>
          <w:rtl w:val="true"/>
        </w:rPr>
        <w:t xml:space="preserve">, </w:t>
      </w:r>
      <w:r>
        <w:rPr>
          <w:rtl w:val="true"/>
        </w:rPr>
        <w:t>שהינם ראשי ארגון גדול הסוחר בכלי נשק</w:t>
      </w:r>
      <w:r>
        <w:rPr>
          <w:rtl w:val="true"/>
        </w:rPr>
        <w:t xml:space="preserve">.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מעורבותו של הנאשם היתה משמעותית ותכופה</w:t>
      </w:r>
      <w:r>
        <w:rPr>
          <w:rtl w:val="true"/>
        </w:rPr>
        <w:t xml:space="preserve">. </w:t>
      </w:r>
      <w:r>
        <w:rPr>
          <w:rtl w:val="true"/>
        </w:rPr>
        <w:t>הנאשם לא בחל ביצירת קשרים עבריינים לצורך ביצוע עבירות נשק ושימש כיד ימינם של באסל ואיסלאם</w:t>
      </w:r>
      <w:r>
        <w:rPr>
          <w:rtl w:val="true"/>
        </w:rPr>
        <w:t xml:space="preserve">. </w:t>
      </w:r>
      <w:r>
        <w:rPr>
          <w:rtl w:val="true"/>
        </w:rPr>
        <w:t>לדברי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 </w:t>
      </w:r>
      <w:r>
        <w:rPr>
          <w:rtl w:val="true"/>
        </w:rPr>
        <w:t>ביצע הנאשם את המעשים המיוחסים לו באופן מתוחכם</w:t>
      </w:r>
      <w:r>
        <w:rPr>
          <w:rtl w:val="true"/>
        </w:rPr>
        <w:t xml:space="preserve">, </w:t>
      </w:r>
      <w:r>
        <w:rPr>
          <w:rtl w:val="true"/>
        </w:rPr>
        <w:t>תוך שימוש בשפת קוד המוכרת רק לחברי הארגון</w:t>
      </w:r>
      <w:r>
        <w:rPr>
          <w:rtl w:val="true"/>
        </w:rPr>
        <w:t xml:space="preserve">, </w:t>
      </w:r>
      <w:r>
        <w:rPr>
          <w:rtl w:val="true"/>
        </w:rPr>
        <w:t>כשהמניע היחידי שעומד לנגד עיניו הינו בצע הכסף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 הדגיש את חומרת מעשיו של הנאשם</w:t>
      </w:r>
      <w:r>
        <w:rPr>
          <w:rtl w:val="true"/>
        </w:rPr>
        <w:t xml:space="preserve">, </w:t>
      </w:r>
      <w:r>
        <w:rPr>
          <w:rtl w:val="true"/>
        </w:rPr>
        <w:t>בכך שכלי נשק רבים עברו תחת ידיו והועברו לגורמים זרים</w:t>
      </w:r>
      <w:r>
        <w:rPr>
          <w:rtl w:val="true"/>
        </w:rPr>
        <w:t xml:space="preserve">, </w:t>
      </w:r>
      <w:r>
        <w:rPr>
          <w:rtl w:val="true"/>
        </w:rPr>
        <w:t>כשלנאשם אין שליטה באשר לאופן השימוש של אותם הגורמים בנשק</w:t>
      </w:r>
      <w:r>
        <w:rPr>
          <w:rtl w:val="true"/>
        </w:rPr>
        <w:t xml:space="preserve">, </w:t>
      </w:r>
      <w:r>
        <w:rPr>
          <w:rtl w:val="true"/>
        </w:rPr>
        <w:t>דבר שעלול להביא לתוצאות הרות אסון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בהתייחס לתסקיר שירות המבחן</w:t>
      </w:r>
      <w:r>
        <w:rPr>
          <w:rtl w:val="true"/>
        </w:rPr>
        <w:t xml:space="preserve">, </w:t>
      </w:r>
      <w:r>
        <w:rPr>
          <w:rtl w:val="true"/>
        </w:rPr>
        <w:t>הפנה ב</w:t>
      </w:r>
      <w:r>
        <w:rPr>
          <w:rtl w:val="true"/>
        </w:rPr>
        <w:t>"</w:t>
      </w:r>
      <w:r>
        <w:rPr>
          <w:rtl w:val="true"/>
        </w:rPr>
        <w:t>כ המאשימה למסקנות התסקיר המעריכות כי ענישה חיצונית ומרתיעה עשויה להועיל בהפחתת הסיכוי להישנות התנהגות דומה בעתיד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לאחר שהתחשב בנסיבות לקולא של נאשם זה</w:t>
      </w:r>
      <w:r>
        <w:rPr>
          <w:rtl w:val="true"/>
        </w:rPr>
        <w:t>, (</w:t>
      </w:r>
      <w:r>
        <w:rPr>
          <w:rtl w:val="true"/>
        </w:rPr>
        <w:t>גילו הצעיר</w:t>
      </w:r>
      <w:r>
        <w:rPr>
          <w:rtl w:val="true"/>
        </w:rPr>
        <w:t xml:space="preserve">, </w:t>
      </w:r>
      <w:r>
        <w:rPr>
          <w:rtl w:val="true"/>
        </w:rPr>
        <w:t>העדר עבר פלילי וחסכון הזמן השיפוטי</w:t>
      </w:r>
      <w:r>
        <w:rPr>
          <w:rtl w:val="true"/>
        </w:rPr>
        <w:t xml:space="preserve">), </w:t>
      </w:r>
      <w:r>
        <w:rPr>
          <w:rtl w:val="true"/>
        </w:rPr>
        <w:t>עתר ב</w:t>
      </w:r>
      <w:r>
        <w:rPr>
          <w:rtl w:val="true"/>
        </w:rPr>
        <w:t>"</w:t>
      </w:r>
      <w:r>
        <w:rPr>
          <w:rtl w:val="true"/>
        </w:rPr>
        <w:t xml:space="preserve">כ המאשימה למאסר בפועל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למאסר מותנה ארוך ומרתיע ולקנס 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הסנגור טען מנגד</w:t>
      </w:r>
      <w:r>
        <w:rPr>
          <w:rtl w:val="true"/>
        </w:rPr>
        <w:t xml:space="preserve">, </w:t>
      </w:r>
      <w:r>
        <w:rPr>
          <w:rtl w:val="true"/>
        </w:rPr>
        <w:t>כי 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חלקו של נאשם זה בפרשה כולה היה מזערי</w:t>
      </w:r>
      <w:r>
        <w:rPr>
          <w:rtl w:val="true"/>
        </w:rPr>
        <w:t xml:space="preserve">, </w:t>
      </w:r>
      <w:r>
        <w:rPr>
          <w:rtl w:val="true"/>
        </w:rPr>
        <w:t>וגם אם נרקמה עסקה כזו או אחרת</w:t>
      </w:r>
      <w:r>
        <w:rPr>
          <w:rtl w:val="true"/>
        </w:rPr>
        <w:t xml:space="preserve">,  </w:t>
      </w:r>
      <w:r>
        <w:rPr>
          <w:rtl w:val="true"/>
        </w:rPr>
        <w:t xml:space="preserve">הנאשם היה המבצע האחרון בעסקה </w:t>
      </w:r>
      <w:r>
        <w:rPr>
          <w:rtl w:val="true"/>
        </w:rPr>
        <w:t>–</w:t>
      </w:r>
      <w:r>
        <w:rPr>
          <w:rtl w:val="true"/>
        </w:rPr>
        <w:t xml:space="preserve"> פעל על פי הוראות 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לדברי הסנגור</w:t>
      </w:r>
      <w:r>
        <w:rPr>
          <w:rtl w:val="true"/>
        </w:rPr>
        <w:t xml:space="preserve">, </w:t>
      </w:r>
      <w:r>
        <w:rPr>
          <w:rtl w:val="true"/>
        </w:rPr>
        <w:t xml:space="preserve">מדובר בנאשם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ללא עבר פלילי קודם</w:t>
      </w:r>
      <w:r>
        <w:rPr>
          <w:rtl w:val="true"/>
        </w:rPr>
        <w:t xml:space="preserve">, </w:t>
      </w:r>
      <w:r>
        <w:rPr>
          <w:rtl w:val="true"/>
        </w:rPr>
        <w:t>שניהל חיים נורמטיביים עד למעצרו</w:t>
      </w:r>
      <w:r>
        <w:rPr>
          <w:rtl w:val="true"/>
        </w:rPr>
        <w:t xml:space="preserve">, </w:t>
      </w:r>
      <w:r>
        <w:rPr>
          <w:rtl w:val="true"/>
        </w:rPr>
        <w:t>ואף תמך במשפחתו ובהוריו החולים</w:t>
      </w:r>
      <w:r>
        <w:rPr>
          <w:rtl w:val="true"/>
        </w:rPr>
        <w:t xml:space="preserve">. </w:t>
      </w:r>
      <w:r>
        <w:rPr>
          <w:rtl w:val="true"/>
        </w:rPr>
        <w:t>הסנגור ציין את תנאי מעצרו הקשים של הנאשם וביקש לאור הסדר הטיעון</w:t>
      </w:r>
      <w:r>
        <w:rPr>
          <w:rtl w:val="true"/>
        </w:rPr>
        <w:t xml:space="preserve">, </w:t>
      </w:r>
      <w:r>
        <w:rPr>
          <w:rtl w:val="true"/>
        </w:rPr>
        <w:t>החסכון בזמן השיפוטי</w:t>
      </w:r>
      <w:r>
        <w:rPr>
          <w:rtl w:val="true"/>
        </w:rPr>
        <w:t xml:space="preserve">, </w:t>
      </w:r>
      <w:r>
        <w:rPr>
          <w:rtl w:val="true"/>
        </w:rPr>
        <w:t>גילו הצעיר של הנאשם והעדר עבר פלילי</w:t>
      </w:r>
      <w:r>
        <w:rPr>
          <w:rtl w:val="true"/>
        </w:rPr>
        <w:t xml:space="preserve">, </w:t>
      </w:r>
      <w:r>
        <w:rPr>
          <w:rtl w:val="true"/>
        </w:rPr>
        <w:t>שלא למצות את הדין עם הנאשם ולהסתפק בתקופת מעצרו</w:t>
      </w:r>
      <w:r>
        <w:rPr>
          <w:rtl w:val="true"/>
        </w:rPr>
        <w:t xml:space="preserve">, </w:t>
      </w:r>
      <w:r>
        <w:rPr>
          <w:rtl w:val="true"/>
        </w:rPr>
        <w:t>או לחילופין</w:t>
      </w:r>
      <w:r>
        <w:rPr>
          <w:rtl w:val="true"/>
        </w:rPr>
        <w:t xml:space="preserve">, </w:t>
      </w:r>
      <w:r>
        <w:rPr>
          <w:rtl w:val="true"/>
        </w:rPr>
        <w:t>בתקופת מאסר קצרה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 הביע חרטה על מעשיו וביקש מבית המשפט להתחשב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start"/>
        <w:rPr/>
      </w:pPr>
      <w:r>
        <w:rPr>
          <w:b/>
          <w:b/>
          <w:bCs/>
          <w:u w:val="single"/>
          <w:rtl w:val="true"/>
        </w:rPr>
        <w:t xml:space="preserve">דיון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 הורשע על פי הודאתו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בעבירות חמורות ביותר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 הנאשם נרתם ביודעין ועל פי בחירתו החופשית</w:t>
      </w:r>
      <w:r>
        <w:rPr>
          <w:rtl w:val="true"/>
        </w:rPr>
        <w:t xml:space="preserve">, </w:t>
      </w:r>
      <w:r>
        <w:rPr>
          <w:rtl w:val="true"/>
        </w:rPr>
        <w:t>לארגון עברייני הפועל למימוש מטרות עברייניות אשר יש בהן סיכון לשלום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כשהמטרה הינה בצע כסף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מעשיו של הנאשם מעידים על היותו שותף לאותו ארגון</w:t>
      </w:r>
      <w:r>
        <w:rPr>
          <w:rtl w:val="true"/>
        </w:rPr>
        <w:t xml:space="preserve">, </w:t>
      </w:r>
      <w:r>
        <w:rPr>
          <w:rtl w:val="true"/>
        </w:rPr>
        <w:t>תוך שהוא  פועל בתיאום ובשיתוף מלא עם באסל ואחרים</w:t>
      </w:r>
      <w:r>
        <w:rPr>
          <w:rtl w:val="true"/>
        </w:rPr>
        <w:t xml:space="preserve">, </w:t>
      </w:r>
      <w:r>
        <w:rPr>
          <w:rtl w:val="true"/>
        </w:rPr>
        <w:t>מאמץ שפת קוד מוכרת</w:t>
      </w:r>
      <w:r>
        <w:rPr>
          <w:rtl w:val="true"/>
        </w:rPr>
        <w:t xml:space="preserve">, </w:t>
      </w:r>
      <w:r>
        <w:rPr>
          <w:rtl w:val="true"/>
        </w:rPr>
        <w:t>תורם את רכבו לשם ביצוע עבירות ויוצר קשרים לצורך ביצוע אותן 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 בחל בכל אמצעי כדי לקיים כל הוראה שקיבל מבאסל או איסלאם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הפסיקה הענפה מלמדת על התרחבות והתפשטות מימדיה של תופעת עבירות הנשק למיניהן</w:t>
      </w:r>
      <w:r>
        <w:rPr>
          <w:rtl w:val="true"/>
        </w:rPr>
        <w:t xml:space="preserve">. </w:t>
      </w:r>
      <w:r>
        <w:rPr>
          <w:rtl w:val="true"/>
        </w:rPr>
        <w:t>עבירות הנשק טומנות בחובן סכנות מרובות הן לשלום וביטחון הציבור ולאושיות חברה החפצה בחיים נורמטיביים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צוין לא אחת</w:t>
      </w:r>
      <w:r>
        <w:rPr>
          <w:rtl w:val="true"/>
        </w:rPr>
        <w:t xml:space="preserve">, </w:t>
      </w:r>
      <w:r>
        <w:rPr>
          <w:rtl w:val="true"/>
        </w:rPr>
        <w:t>כי עבירות הנשק מהוות איום וסכנה ממשית לאינטרס הציבורי</w:t>
      </w:r>
      <w:r>
        <w:rPr>
          <w:rtl w:val="true"/>
        </w:rPr>
        <w:t xml:space="preserve">. </w:t>
      </w:r>
      <w:r>
        <w:rPr>
          <w:rtl w:val="true"/>
        </w:rPr>
        <w:t>עבריינים מעבירים אמצעי לחימה וכלי נשק לידיים בלתי אחראיות שבסופו של יום</w:t>
      </w:r>
      <w:r>
        <w:rPr>
          <w:rtl w:val="true"/>
        </w:rPr>
        <w:t xml:space="preserve">, </w:t>
      </w:r>
      <w:r>
        <w:rPr>
          <w:rtl w:val="true"/>
        </w:rPr>
        <w:t>עלולים רבים מכלי נשק אלה להימצא בקרב גורמים פליליים ו</w:t>
      </w:r>
      <w:r>
        <w:rPr>
          <w:rtl w:val="true"/>
        </w:rPr>
        <w:t>-</w:t>
      </w:r>
      <w:r>
        <w:rPr>
          <w:rtl w:val="true"/>
        </w:rPr>
        <w:t>או ביטחוניים ובכך כאמור</w:t>
      </w:r>
      <w:r>
        <w:rPr>
          <w:rtl w:val="true"/>
        </w:rPr>
        <w:t xml:space="preserve">, </w:t>
      </w:r>
      <w:r>
        <w:rPr>
          <w:rtl w:val="true"/>
        </w:rPr>
        <w:t>לסכן את שלומו של כלל 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מדובר בנאשם צעיר בשנים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חסר עבר פלילי</w:t>
      </w:r>
      <w:r>
        <w:rPr>
          <w:rtl w:val="true"/>
        </w:rPr>
        <w:t xml:space="preserve">, </w:t>
      </w:r>
      <w:r>
        <w:rPr>
          <w:rtl w:val="true"/>
        </w:rPr>
        <w:t>שניהל אורח חיים נורמטיבי עד למעצרו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הנאשם בצע את מעשיו העבריינים תוך בחירה ותוך מודעות לכל אשר הוא עושה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לאור יחסיו הטובים עם באסל</w:t>
      </w:r>
      <w:r>
        <w:rPr>
          <w:rtl w:val="true"/>
        </w:rPr>
        <w:t xml:space="preserve">, </w:t>
      </w:r>
      <w:r>
        <w:rPr>
          <w:rtl w:val="true"/>
        </w:rPr>
        <w:t>ונוכח הפיתוי להרוויח כסף קל</w:t>
      </w:r>
      <w:r>
        <w:rPr>
          <w:rtl w:val="true"/>
        </w:rPr>
        <w:t xml:space="preserve">, </w:t>
      </w:r>
      <w:r>
        <w:rPr>
          <w:rtl w:val="true"/>
        </w:rPr>
        <w:t>הצטרף לאותו ארגון סחר בנשק</w:t>
      </w:r>
      <w:r>
        <w:rPr>
          <w:rtl w:val="true"/>
        </w:rPr>
        <w:t xml:space="preserve">, </w:t>
      </w:r>
      <w:r>
        <w:rPr>
          <w:rtl w:val="true"/>
        </w:rPr>
        <w:t>תוך ידיעה ברורה על פעולותיו העברייניות של הארגון ולראיה</w:t>
      </w:r>
      <w:r>
        <w:rPr>
          <w:rtl w:val="true"/>
        </w:rPr>
        <w:t xml:space="preserve">, </w:t>
      </w:r>
      <w:r>
        <w:rPr>
          <w:rtl w:val="true"/>
        </w:rPr>
        <w:t>אימץ שפת קוד והשתמש בביטויים המוכרים רק לאלו שפעלו בתוך הארגון או בשיתוף עימו</w:t>
      </w:r>
      <w:r>
        <w:rPr>
          <w:rtl w:val="true"/>
        </w:rPr>
        <w:t xml:space="preserve">. </w:t>
      </w:r>
      <w:r>
        <w:rPr>
          <w:rtl w:val="true"/>
        </w:rPr>
        <w:t>אינני מקבל את טענתו של הסניגור כי הנאשם מילא אחרי הוראותיו של האחר</w:t>
      </w:r>
      <w:r>
        <w:rPr>
          <w:rtl w:val="true"/>
        </w:rPr>
        <w:t xml:space="preserve">. </w:t>
      </w:r>
      <w:r>
        <w:rPr>
          <w:rtl w:val="true"/>
        </w:rPr>
        <w:t>נהפוך הוא</w:t>
      </w:r>
      <w:r>
        <w:rPr>
          <w:rtl w:val="true"/>
        </w:rPr>
        <w:t xml:space="preserve">, </w:t>
      </w:r>
      <w:r>
        <w:rPr>
          <w:rtl w:val="true"/>
        </w:rPr>
        <w:t xml:space="preserve">כתב האישום מתאר אדם הפועל תוך שיתוף פעולה מלא עם  </w:t>
      </w:r>
      <w:r>
        <w:rPr>
          <w:rtl w:val="true"/>
        </w:rPr>
        <w:t>"</w:t>
      </w:r>
      <w:r>
        <w:rPr>
          <w:rtl w:val="true"/>
        </w:rPr>
        <w:t>מפקדיו</w:t>
      </w:r>
      <w:r>
        <w:rPr>
          <w:rtl w:val="true"/>
        </w:rPr>
        <w:t xml:space="preserve">" </w:t>
      </w:r>
      <w:r>
        <w:rPr>
          <w:rtl w:val="true"/>
        </w:rPr>
        <w:t>ואינו בוחל בביצוע כל הוראה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start"/>
        <w:rPr/>
      </w:pP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לא נותר בידי בית המשפט אלא להבהיר לנאשם שדרך הפשע בה החל אינה משתלמת</w:t>
      </w:r>
      <w:r>
        <w:rPr>
          <w:rtl w:val="true"/>
        </w:rPr>
        <w:t xml:space="preserve">, </w:t>
      </w:r>
      <w:r>
        <w:rPr>
          <w:rtl w:val="true"/>
        </w:rPr>
        <w:t>ועל כך עליו לשאת בעונש הראוי למעשים מסוג 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ששקלתי את כל השיקולים שעמדו 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הריני לגזור על הנאשם את העונשים שלהלן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דן את הנאשם למאסר לתקופה של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היתרה על תנאי למשך שלוש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שהנאשם לא יעבור ויורשע בפרק 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עבירה מהעבירות בהן הורשע בכתב אישום מתוקן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דן את הנאשם לתשלום קנס בסך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שישא הנאשם בנוסף לכל מאסר אחר שהוטל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הנני פוסל את הנאשם מלקבל או להחזיק רישיון נהיגה למשך חמש שנים מיום סיום תקופת מאסרו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 לבית המשפט העליון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#6#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 תמוז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28/07/2011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077" w:top="1701" w:footer="1157" w:bottom="1213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17318-02-11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תיים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577955" TargetMode="External"/><Relationship Id="rId3" Type="http://schemas.openxmlformats.org/officeDocument/2006/relationships/hyperlink" Target="http://www.nevo.co.il/case/3577955" TargetMode="External"/><Relationship Id="rId4" Type="http://schemas.openxmlformats.org/officeDocument/2006/relationships/hyperlink" Target="http://www.nevo.co.il/case/3577955" TargetMode="External"/><Relationship Id="rId5" Type="http://schemas.openxmlformats.org/officeDocument/2006/relationships/hyperlink" Target="http://www.nevo.co.il/case/3577955" TargetMode="External"/><Relationship Id="rId6" Type="http://schemas.openxmlformats.org/officeDocument/2006/relationships/hyperlink" Target="http://www.nevo.co.il/case/3577955" TargetMode="External"/><Relationship Id="rId7" Type="http://schemas.openxmlformats.org/officeDocument/2006/relationships/hyperlink" Target="http://www.nevo.co.il/case/3577955" TargetMode="External"/><Relationship Id="rId8" Type="http://schemas.openxmlformats.org/officeDocument/2006/relationships/hyperlink" Target="http://www.nevo.co.il/case/3577955" TargetMode="External"/><Relationship Id="rId9" Type="http://schemas.openxmlformats.org/officeDocument/2006/relationships/hyperlink" Target="http://www.nevo.co.il/case/3577955" TargetMode="External"/><Relationship Id="rId10" Type="http://schemas.openxmlformats.org/officeDocument/2006/relationships/hyperlink" Target="http://www.nevo.co.il/case/3577955" TargetMode="External"/><Relationship Id="rId11" Type="http://schemas.openxmlformats.org/officeDocument/2006/relationships/hyperlink" Target="http://www.nevo.co.il/case/3577955" TargetMode="External"/><Relationship Id="rId12" Type="http://schemas.openxmlformats.org/officeDocument/2006/relationships/hyperlink" Target="http://www.nevo.co.il/case/5594967" TargetMode="External"/><Relationship Id="rId13" Type="http://schemas.openxmlformats.org/officeDocument/2006/relationships/hyperlink" Target="http://www.nevo.co.il/case/3577955" TargetMode="External"/><Relationship Id="rId14" Type="http://schemas.openxmlformats.org/officeDocument/2006/relationships/hyperlink" Target="http://www.nevo.co.il/case/3577955" TargetMode="External"/><Relationship Id="rId15" Type="http://schemas.openxmlformats.org/officeDocument/2006/relationships/hyperlink" Target="http://www.nevo.co.il/case/3577955" TargetMode="External"/><Relationship Id="rId16" Type="http://schemas.openxmlformats.org/officeDocument/2006/relationships/hyperlink" Target="http://www.nevo.co.il/case/3577955" TargetMode="External"/><Relationship Id="rId17" Type="http://schemas.openxmlformats.org/officeDocument/2006/relationships/hyperlink" Target="http://www.nevo.co.il/case/3577955" TargetMode="External"/><Relationship Id="rId18" Type="http://schemas.openxmlformats.org/officeDocument/2006/relationships/hyperlink" Target="http://www.nevo.co.il/case/3577955" TargetMode="External"/><Relationship Id="rId19" Type="http://schemas.openxmlformats.org/officeDocument/2006/relationships/hyperlink" Target="http://www.nevo.co.il/case/3577955" TargetMode="External"/><Relationship Id="rId20" Type="http://schemas.openxmlformats.org/officeDocument/2006/relationships/hyperlink" Target="http://www.nevo.co.il/case/3577955" TargetMode="External"/><Relationship Id="rId21" Type="http://schemas.openxmlformats.org/officeDocument/2006/relationships/hyperlink" Target="http://www.nevo.co.il/case/3577955" TargetMode="External"/><Relationship Id="rId22" Type="http://schemas.openxmlformats.org/officeDocument/2006/relationships/hyperlink" Target="http://www.nevo.co.il/case/3577955" TargetMode="External"/><Relationship Id="rId23" Type="http://schemas.openxmlformats.org/officeDocument/2006/relationships/hyperlink" Target="http://www.nevo.co.il/case/5594967" TargetMode="External"/><Relationship Id="rId24" Type="http://schemas.openxmlformats.org/officeDocument/2006/relationships/hyperlink" Target="http://www.nevo.co.il/case/5594967" TargetMode="External"/><Relationship Id="rId25" Type="http://schemas.openxmlformats.org/officeDocument/2006/relationships/hyperlink" Target="http://www.nevo.co.il/case/3577955" TargetMode="External"/><Relationship Id="rId26" Type="http://schemas.openxmlformats.org/officeDocument/2006/relationships/hyperlink" Target="http://www.nevo.co.il/case/3577955" TargetMode="External"/><Relationship Id="rId27" Type="http://schemas.openxmlformats.org/officeDocument/2006/relationships/hyperlink" Target="http://www.nevo.co.il/case/3577955" TargetMode="External"/><Relationship Id="rId28" Type="http://schemas.openxmlformats.org/officeDocument/2006/relationships/hyperlink" Target="http://www.nevo.co.il/case/3577955" TargetMode="External"/><Relationship Id="rId29" Type="http://schemas.openxmlformats.org/officeDocument/2006/relationships/hyperlink" Target="http://www.nevo.co.il/case/3577955" TargetMode="External"/><Relationship Id="rId30" Type="http://schemas.openxmlformats.org/officeDocument/2006/relationships/hyperlink" Target="http://www.nevo.co.il/case/3577955" TargetMode="External"/><Relationship Id="rId31" Type="http://schemas.openxmlformats.org/officeDocument/2006/relationships/hyperlink" Target="http://www.nevo.co.il/case/3577955" TargetMode="External"/><Relationship Id="rId32" Type="http://schemas.openxmlformats.org/officeDocument/2006/relationships/hyperlink" Target="http://www.nevo.co.il/case/3577955" TargetMode="External"/><Relationship Id="rId33" Type="http://schemas.openxmlformats.org/officeDocument/2006/relationships/hyperlink" Target="http://www.nevo.co.il/case/3577955" TargetMode="External"/><Relationship Id="rId34" Type="http://schemas.openxmlformats.org/officeDocument/2006/relationships/hyperlink" Target="http://www.nevo.co.il/case/3577955" TargetMode="External"/><Relationship Id="rId35" Type="http://schemas.openxmlformats.org/officeDocument/2006/relationships/hyperlink" Target="http://www.nevo.co.il/case/5594967" TargetMode="External"/><Relationship Id="rId36" Type="http://schemas.openxmlformats.org/officeDocument/2006/relationships/hyperlink" Target="http://www.nevo.co.il/case/5594967" TargetMode="External"/><Relationship Id="rId37" Type="http://schemas.openxmlformats.org/officeDocument/2006/relationships/hyperlink" Target="http://www.nevo.co.il/case/5594967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/144.b2" TargetMode="External"/><Relationship Id="rId41" Type="http://schemas.openxmlformats.org/officeDocument/2006/relationships/hyperlink" Target="http://www.nevo.co.il/law/70301/499.a.1" TargetMode="External"/><Relationship Id="rId42" Type="http://schemas.openxmlformats.org/officeDocument/2006/relationships/hyperlink" Target="http://www.nevo.co.il/law/70301/499.a.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44.b2" TargetMode="External"/><Relationship Id="rId45" Type="http://schemas.openxmlformats.org/officeDocument/2006/relationships/hyperlink" Target="http://www.nevo.co.il/law/70301/144.a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2016-05-03T11:54:00Z</dcterms:created>
  <dc:creator> </dc:creator>
  <dc:description/>
  <cp:keywords/>
  <dc:language>en-IL</dc:language>
  <cp:lastModifiedBy>hofit</cp:lastModifiedBy>
  <dcterms:modified xsi:type="dcterms:W3CDTF">2016-05-03T11:54:00Z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מוחמד תיים</vt:lpwstr>
  </property>
  <property fmtid="{D5CDD505-2E9C-101B-9397-08002B2CF9AE}" pid="4" name="CASESLISTTMP1">
    <vt:lpwstr>3577955:30;5594967:6</vt:lpwstr>
  </property>
  <property fmtid="{D5CDD505-2E9C-101B-9397-08002B2CF9AE}" pid="5" name="CITY">
    <vt:lpwstr>נצ'</vt:lpwstr>
  </property>
  <property fmtid="{D5CDD505-2E9C-101B-9397-08002B2CF9AE}" pid="6" name="DATE">
    <vt:lpwstr>20110728</vt:lpwstr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LISTTMP1">
    <vt:lpwstr>70301/499.a.1;144.b2;144.a</vt:lpwstr>
  </property>
  <property fmtid="{D5CDD505-2E9C-101B-9397-08002B2CF9AE}" pid="10" name="LAWYER">
    <vt:lpwstr>מורן רייצ'ס;כנעאנה</vt:lpwstr>
  </property>
  <property fmtid="{D5CDD505-2E9C-101B-9397-08002B2CF9AE}" pid="11" name="LINKK1">
    <vt:lpwstr>http://www.nevo.co.il/Psika_word/mechozi/ME-11-02-17318-195.doc;להחלטה במחוזי (09-02-2011)#תפ 17318-02-11 מדינת ישראל נ' מוחמד תיים#שופטים: תאופיק כתילי#עו''ד: מורן רייצ'ס, כנעאנה</vt:lpwstr>
  </property>
  <property fmtid="{D5CDD505-2E9C-101B-9397-08002B2CF9AE}" pid="12" name="LINKK10">
    <vt:lpwstr>http://www.nevo.co.il/Psika_word/mechozi/ME-11-02-17318-209.doc;להחלטה במחוזי (14-09-2011)#תפ 17318-02-11 מדינת ישראל נ' מוחמד תיים#שופטים: תאופיק כתילי#עו''ד: מורן רייצ'ס, כנעאנה</vt:lpwstr>
  </property>
  <property fmtid="{D5CDD505-2E9C-101B-9397-08002B2CF9AE}" pid="13" name="LINKK11">
    <vt:lpwstr>http://www.nevo.co.il/Psika_word/elyon/11065410-d01.doc;להחלטה בעליון (26-09-2011)#עפ 6541/11 מוחמד תיים נ' מדינת ישראל#שופטים: גיא שני</vt:lpwstr>
  </property>
  <property fmtid="{D5CDD505-2E9C-101B-9397-08002B2CF9AE}" pid="14" name="LINKK12">
    <vt:lpwstr>http://www.nevo.co.il/Psika_word/mechozi/ME-11-02-17318-195.doc;להחלטה במחוזי (09-02-2011)#תפ 17318-02-11 מדינת ישראל נ' מוחמד תיים#שופטים: תאופיק כתילי#עו''ד: מורן רייצ'ס, כנעאנה</vt:lpwstr>
  </property>
  <property fmtid="{D5CDD505-2E9C-101B-9397-08002B2CF9AE}" pid="15" name="LINKK2">
    <vt:lpwstr>http://www.nevo.co.il/Psika_word/mechozi/ME-11-02-17318-281.doc;להחלטה במחוזי (28-02-2011)#תפ 17318-02-11 מדינת ישראל נ' מוחמד תיים#שופטים: תאופיק כתילי#עו''ד: עידית רייכרט, לידאוי</vt:lpwstr>
  </property>
  <property fmtid="{D5CDD505-2E9C-101B-9397-08002B2CF9AE}" pid="16" name="LINKK3">
    <vt:lpwstr>http://www.nevo.co.il/Psika_word/mechozi/ME-11-02-17318-243.doc;להחלטה במחוזי (13-03-2011)#תפ 17318-02-11 מדינת ישראל נ' מוחמד תיים (עציר)#שופטים: תאופיק כתילי#עו''ד: עידית רייכרט, לידאוי</vt:lpwstr>
  </property>
  <property fmtid="{D5CDD505-2E9C-101B-9397-08002B2CF9AE}" pid="17" name="LINKK4">
    <vt:lpwstr>http://www.nevo.co.il/Psika_word/mechozi/ME-11-02-17318-693.doc;להחלטה במחוזי (16-03-2011)#תפ 17318-02-11 מוחמד תיים נ' מדינת ישראל#שופטים: דוד חשין#עו''ד: אבי פסטרנק, כנעאנה</vt:lpwstr>
  </property>
  <property fmtid="{D5CDD505-2E9C-101B-9397-08002B2CF9AE}" pid="18" name="LINKK5">
    <vt:lpwstr>http://www.nevo.co.il/Psika_word/mechozi/ME-11-02-17318-12.doc;להחלטה במחוזי (17-03-2011)#תפ 17318-02-11 מדינת ישראל נ' מדינת ישראל#שופטים: תאופיק כתילי#עו''ד: מורן רייצ'ס, כנעאנה</vt:lpwstr>
  </property>
  <property fmtid="{D5CDD505-2E9C-101B-9397-08002B2CF9AE}" pid="19" name="LINKK6">
    <vt:lpwstr>http://www.nevo.co.il/Psika_word/mechozi/ME-11-02-17318-222.doc;להחלטה במחוזי (11-04-2011)#תפ 17318-02-11 מדינת ישראל נ' מוחמד תיים#שופטים: תאופיק כתילי#עו''ד: עידית רייכרט, לידאוי</vt:lpwstr>
  </property>
  <property fmtid="{D5CDD505-2E9C-101B-9397-08002B2CF9AE}" pid="20" name="LINKK7">
    <vt:lpwstr>http://www.nevo.co.il/Psika_word/mechozi/ME-11-02-17318-564.doc;להחלטה במחוזי (29-05-2011)#תפ 17318-02-11 מדינת ישראל נ' מוחמד תיים#שופטים: תאופיק כתילי#עו''ד: אבי פסטרנק, כנעאנה</vt:lpwstr>
  </property>
  <property fmtid="{D5CDD505-2E9C-101B-9397-08002B2CF9AE}" pid="21" name="LINKK8">
    <vt:lpwstr>http://www.nevo.co.il/Psika_word/mechozi/ME-11-02-17318-555.doc;להחלטה במחוזי (17-07-2011)#תפ 17318-02-11 מדינת ישראל נ' מוחמד תיים#שופטים: תאופיק כתילי#עו''ד: מורן רייצ'ס, כנעאנה</vt:lpwstr>
  </property>
  <property fmtid="{D5CDD505-2E9C-101B-9397-08002B2CF9AE}" pid="22" name="LINKK9">
    <vt:lpwstr>http://www.nevo.co.il/Psika_word/mechozi/ME-11-02-17318-34.doc;לגזר-דין במחוזי (28-07-2011)#תפ 17318-02-11 מדינת ישראל נ' מוחמד תיים#שופטים: תאופיק כתילי#עו''ד: מורן רייצ'ס, כנעאנה</vt:lpwstr>
  </property>
  <property fmtid="{D5CDD505-2E9C-101B-9397-08002B2CF9AE}" pid="23" name="NEWPARTA">
    <vt:lpwstr>17318</vt:lpwstr>
  </property>
  <property fmtid="{D5CDD505-2E9C-101B-9397-08002B2CF9AE}" pid="24" name="NEWPARTB">
    <vt:lpwstr>02</vt:lpwstr>
  </property>
  <property fmtid="{D5CDD505-2E9C-101B-9397-08002B2CF9AE}" pid="25" name="NEWPARTC">
    <vt:lpwstr>11</vt:lpwstr>
  </property>
  <property fmtid="{D5CDD505-2E9C-101B-9397-08002B2CF9AE}" pid="26" name="NEWPROC">
    <vt:lpwstr>תפ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TYPE_ABS_DATE">
    <vt:lpwstr>390020110728</vt:lpwstr>
  </property>
  <property fmtid="{D5CDD505-2E9C-101B-9397-08002B2CF9AE}" pid="30" name="TYPE_N_DATE">
    <vt:lpwstr>39020110728</vt:lpwstr>
  </property>
  <property fmtid="{D5CDD505-2E9C-101B-9397-08002B2CF9AE}" pid="31" name="WORDNUMPAGES">
    <vt:lpwstr>5</vt:lpwstr>
  </property>
</Properties>
</file>