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9"/>
        <w:gridCol w:w="420"/>
        <w:gridCol w:w="861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ind w:end="0"/>
              <w:jc w:val="start"/>
              <w:rPr>
                <w:vanish/>
                <w:highlight w:val="yellow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95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1732-12-08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כרכור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78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מיסור כרכור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ליאור בנימין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מובא באמצעות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ס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דן גלעד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ס</w:t>
      </w:r>
      <w:r>
        <w:rPr>
          <w:u w:val="none"/>
          <w:rtl w:val="true"/>
        </w:rPr>
        <w:t xml:space="preserve">. </w:t>
      </w:r>
      <w:r>
        <w:rPr>
          <w:u w:val="none"/>
          <w:rtl w:val="true"/>
        </w:rPr>
        <w:t>ציבורי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/>
      </w:pPr>
      <w:bookmarkStart w:id="7" w:name="ABSTRACT_START"/>
      <w:bookmarkEnd w:id="7"/>
      <w:r>
        <w:rPr>
          <w:rtl w:val="true"/>
        </w:rPr>
        <w:t xml:space="preserve">הנאשם הורשע על פי  הודייתו בעבירות המיוחסות לו בכתב האישום המתוקן </w:t>
      </w:r>
      <w:r>
        <w:rPr>
          <w:rtl w:val="true"/>
        </w:rPr>
        <w:t xml:space="preserve">-  </w:t>
      </w:r>
      <w:r>
        <w:rPr>
          <w:rtl w:val="true"/>
        </w:rPr>
        <w:t>החזקת נשק מאולתר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כנגד הנאשם תלוי מאסר</w:t>
      </w:r>
      <w:r>
        <w:rPr>
          <w:rtl w:val="true"/>
        </w:rPr>
        <w:t>-</w:t>
      </w:r>
      <w:r>
        <w:rPr>
          <w:rtl w:val="true"/>
        </w:rPr>
        <w:t xml:space="preserve">מותנה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5127/06</w:t>
        </w:r>
      </w:hyperlink>
      <w:r>
        <w:rPr>
          <w:rtl w:val="true"/>
        </w:rPr>
        <w:t xml:space="preserve">, </w:t>
      </w:r>
      <w:r>
        <w:rPr>
          <w:rtl w:val="true"/>
        </w:rPr>
        <w:t>שם היה מדובר בנשיאת נשק – אקדח גנוב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הצדדים הציגו אסמכתאות לכאן ולכאן</w:t>
      </w:r>
      <w:r>
        <w:rPr>
          <w:rtl w:val="true"/>
        </w:rPr>
        <w:t xml:space="preserve">, </w:t>
      </w:r>
      <w:r>
        <w:rPr>
          <w:rtl w:val="true"/>
        </w:rPr>
        <w:t>התובע לענישה מחמירה</w:t>
      </w:r>
      <w:r>
        <w:rPr>
          <w:rtl w:val="true"/>
        </w:rPr>
        <w:t xml:space="preserve">,  </w:t>
      </w:r>
      <w:r>
        <w:rPr>
          <w:rtl w:val="true"/>
        </w:rPr>
        <w:t>והסניגור – למקילה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מדובר בעבירה חמורה כשלעצמה</w:t>
      </w:r>
      <w:r>
        <w:rPr>
          <w:rtl w:val="true"/>
        </w:rPr>
        <w:t xml:space="preserve">, </w:t>
      </w:r>
      <w:r>
        <w:rPr>
          <w:rtl w:val="true"/>
        </w:rPr>
        <w:t>וחמורה שבעתיים כשהנאשם כבר הורשע בעבר בעבירה כזו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הנימוק היחיד שפועל לזכותו של הנאשם הוא שהודה בהזדמנות הראשונה ולקח אחריות למעשה</w:t>
      </w:r>
      <w:r>
        <w:rPr>
          <w:rtl w:val="true"/>
        </w:rPr>
        <w:t xml:space="preserve">, </w:t>
      </w:r>
      <w:r>
        <w:rPr>
          <w:rtl w:val="true"/>
        </w:rPr>
        <w:t>ובכך חסך מזמנם של העדים הרבים</w:t>
      </w:r>
      <w:r>
        <w:rPr>
          <w:rtl w:val="true"/>
        </w:rPr>
        <w:t xml:space="preserve">, </w:t>
      </w:r>
      <w:r>
        <w:rPr>
          <w:rtl w:val="true"/>
        </w:rPr>
        <w:t>מזמנה של התביעה ומזמנו של 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בשל כך הוא ראוי להקלת מה 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לפיכך בית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המשפט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לתקופה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ומאסר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 xml:space="preserve">תנאי לתקופה של 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עבירה על איזה מהסעיפים בהם הורשע בתיק זה</w:t>
      </w:r>
      <w:r>
        <w:rPr>
          <w:rtl w:val="true"/>
        </w:rPr>
        <w:t xml:space="preserve">, </w:t>
      </w:r>
      <w:r>
        <w:rPr>
          <w:rtl w:val="true"/>
        </w:rPr>
        <w:t>ויורשע בה בין בתקופת התנאי ובין לאחריה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המאסר המותנה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 מ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5127/06</w:t>
        </w:r>
      </w:hyperlink>
      <w:r>
        <w:rPr>
          <w:rtl w:val="true"/>
        </w:rPr>
        <w:t xml:space="preserve"> </w:t>
      </w:r>
      <w:r>
        <w:rPr>
          <w:rtl w:val="true"/>
        </w:rPr>
        <w:t>מופעל בזאת</w:t>
      </w:r>
      <w:r>
        <w:rPr>
          <w:rtl w:val="true"/>
        </w:rPr>
        <w:t xml:space="preserve">, </w:t>
      </w:r>
      <w:r>
        <w:rPr>
          <w:rtl w:val="true"/>
        </w:rPr>
        <w:t>ולאור הודיית     הנאשם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ממנו ירוצו בחופף למאסר שהוטל עליו בתיק שבפני</w:t>
      </w:r>
      <w:r>
        <w:rPr>
          <w:rtl w:val="true"/>
        </w:rPr>
        <w:t xml:space="preserve">, </w:t>
      </w:r>
      <w:r>
        <w:rPr>
          <w:rtl w:val="true"/>
        </w:rPr>
        <w:t xml:space="preserve">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במצטבר</w:t>
      </w:r>
      <w:r>
        <w:rPr>
          <w:rtl w:val="true"/>
        </w:rPr>
        <w:t xml:space="preserve">, </w:t>
      </w:r>
      <w:r>
        <w:rPr>
          <w:rtl w:val="true"/>
        </w:rPr>
        <w:t xml:space="preserve">כך שבשורה התחתונה ירצה הנאשם 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שיימנו מיום מעצרו 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              </w:t>
      </w:r>
      <w:r>
        <w:rPr>
          <w:highlight w:val="yellow"/>
          <w:rtl w:val="true"/>
        </w:rPr>
        <w:t>(</w:t>
      </w:r>
      <w:r>
        <w:rPr>
          <w:highlight w:val="yellow"/>
          <w:rtl w:val="true"/>
        </w:rPr>
        <w:t xml:space="preserve">הנאשם עצור מיום </w:t>
      </w:r>
      <w:r>
        <w:rPr>
          <w:highlight w:val="yellow"/>
        </w:rPr>
        <w:t>23.11.08</w:t>
      </w:r>
      <w:r>
        <w:rPr>
          <w:highlight w:val="yellow"/>
          <w:rtl w:val="true"/>
        </w:rPr>
        <w:t xml:space="preserve"> 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ניתן בזה צו  להשמדת המוצגים – נשק ותחמושת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שירות בתי הסוהר מתבקש לשקול את בקשת הנאשם לשלב אותו בהליך גמילה מאלכוהול במסגרת תקופת מאסרו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הודעה והוסברה זכות הערעור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לבית המשפט המחוזי בחיפה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למזכירות </w:t>
      </w:r>
      <w:r>
        <w:rPr>
          <w:rtl w:val="true"/>
        </w:rPr>
        <w:t xml:space="preserve">- </w:t>
      </w:r>
      <w:r>
        <w:rPr>
          <w:rtl w:val="true"/>
        </w:rPr>
        <w:t>התיק ירשם כסגור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אהוד קפלן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אהוד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קפלן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ורדה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ורדה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/Users/liorb/Downloads/study2025-p2/SH-08-12-1732-A.doc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1732-12-08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מיסור כרכור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732-12-08"/>
    <w:docVar w:name="caseId" w:val="12094417"/>
    <w:docVar w:name="deriveClass" w:val="NGCS.Protocol.BL.Client.ProtocolBLClientCriminal"/>
    <w:docVar w:name="firstPageNumber" w:val="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19523"/>
    <w:docVar w:name="releaseSign" w:val="0"/>
    <w:docVar w:name="sittingDateTime" w:val="14/01/2009 08:30     "/>
    <w:docVar w:name="sittingId" w:val="1231630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5127/06" TargetMode="External"/><Relationship Id="rId4" Type="http://schemas.openxmlformats.org/officeDocument/2006/relationships/hyperlink" Target="http://www.nevo.co.il/links/psika/?link=&#1514;&#1508;%205127/06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2009-01-15T00:52:00Z</dcterms:created>
  <dc:creator> </dc:creator>
  <dc:description/>
  <cp:keywords/>
  <dc:language>en-IL</dc:language>
  <cp:lastModifiedBy>comp99</cp:lastModifiedBy>
  <cp:lastPrinted>2009-01-14T09:22:00Z</cp:lastPrinted>
  <dcterms:modified xsi:type="dcterms:W3CDTF">2009-01-15T09:27:00Z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מיסור כרכור (עציר)</vt:lpwstr>
  </property>
  <property fmtid="{D5CDD505-2E9C-101B-9397-08002B2CF9AE}" pid="4" name="CITY">
    <vt:lpwstr>חד'</vt:lpwstr>
  </property>
  <property fmtid="{D5CDD505-2E9C-101B-9397-08002B2CF9AE}" pid="5" name="DATE">
    <vt:lpwstr>20090114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אהוד קפלן</vt:lpwstr>
  </property>
  <property fmtid="{D5CDD505-2E9C-101B-9397-08002B2CF9AE}" pid="9" name="LAWYER">
    <vt:lpwstr>ליאור בנימין;דן גלעד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1732</vt:lpwstr>
  </property>
  <property fmtid="{D5CDD505-2E9C-101B-9397-08002B2CF9AE}" pid="23" name="NEWPARTB">
    <vt:lpwstr>12</vt:lpwstr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380020090114</vt:lpwstr>
  </property>
  <property fmtid="{D5CDD505-2E9C-101B-9397-08002B2CF9AE}" pid="35" name="TYPE_N_DATE">
    <vt:lpwstr>38020090114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