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17573-10-22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זועבי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סולטאן זועבי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עימאד זועבי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39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  נאשם </w:t>
            </w:r>
            <w:r>
              <w:rPr>
                <w:rFonts w:cs="David" w:ascii="David" w:hAnsi="David"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eastAsia="David" w:cs="David"/>
          <w:b/>
          <w:bCs/>
          <w:sz w:val="14"/>
          <w:szCs w:val="14"/>
        </w:rPr>
      </w:pPr>
      <w:r>
        <w:rPr>
          <w:rFonts w:eastAsia="David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 w:eastAsia="David"/>
          <w:rtl w:val="true"/>
        </w:rPr>
        <w:t>הנאשם הודה והורשע במסגרת הסדר טיעון בכתב אישום מתוקן בעבירה של החזקת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עבירה לפי עבירה לפי </w:t>
      </w:r>
      <w:hyperlink r:id="rId12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וסיפא </w:t>
      </w:r>
      <w:r>
        <w:rPr>
          <w:rFonts w:eastAsia="David" w:cs="David" w:ascii="David" w:hAnsi="David"/>
          <w:rtl w:val="true"/>
        </w:rPr>
        <w:t xml:space="preserve">+ </w:t>
      </w:r>
      <w:hyperlink r:id="rId13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4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bookmarkStart w:id="9" w:name="ABSTRACT_END"/>
      <w:bookmarkEnd w:id="9"/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08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color w:val="000000"/>
          <w:rtl w:val="true"/>
        </w:rPr>
        <w:t xml:space="preserve">בתאריך </w:t>
      </w:r>
      <w:r>
        <w:rPr>
          <w:rFonts w:eastAsia="Calibri" w:cs="David" w:ascii="David" w:hAnsi="David"/>
          <w:color w:val="000000"/>
        </w:rPr>
        <w:t>2.10.22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 xml:space="preserve">בסמוך </w:t>
      </w:r>
      <w:r>
        <w:rPr>
          <w:rFonts w:ascii="David" w:hAnsi="David" w:eastAsia="Calibri"/>
          <w:color w:val="000000"/>
          <w:rtl w:val="true"/>
        </w:rPr>
        <w:t>ל</w:t>
      </w:r>
      <w:r>
        <w:rPr>
          <w:rFonts w:ascii="David" w:hAnsi="David" w:eastAsia="Calibri"/>
          <w:color w:val="000000"/>
          <w:rtl w:val="true"/>
        </w:rPr>
        <w:t xml:space="preserve">שעה </w:t>
      </w:r>
      <w:r>
        <w:rPr>
          <w:rFonts w:eastAsia="Calibri" w:cs="David" w:ascii="David" w:hAnsi="David"/>
          <w:color w:val="000000"/>
        </w:rPr>
        <w:t>20:15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בכיכר אום אל פחם שהו הנאשם </w:t>
      </w:r>
      <w:r>
        <w:rPr>
          <w:rFonts w:eastAsia="Calibri" w:cs="David" w:ascii="David" w:hAnsi="David"/>
          <w:color w:val="000000"/>
        </w:rPr>
        <w:t>1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והנאשם </w:t>
      </w:r>
      <w:r>
        <w:rPr>
          <w:rFonts w:eastAsia="Calibri" w:cs="David" w:ascii="David" w:hAnsi="David"/>
          <w:color w:val="000000"/>
        </w:rPr>
        <w:t>2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ברכב מסוג </w:t>
      </w:r>
      <w:r>
        <w:rPr>
          <w:rFonts w:eastAsia="Calibri" w:cs="David" w:ascii="David" w:hAnsi="David"/>
          <w:color w:val="000000"/>
          <w:rtl w:val="true"/>
        </w:rPr>
        <w:t>"</w:t>
      </w:r>
      <w:r>
        <w:rPr>
          <w:rFonts w:ascii="David" w:hAnsi="David" w:eastAsia="Calibri"/>
          <w:color w:val="000000"/>
          <w:rtl w:val="true"/>
        </w:rPr>
        <w:t>טויוטה</w:t>
      </w:r>
      <w:r>
        <w:rPr>
          <w:rFonts w:eastAsia="Calibri" w:cs="David" w:ascii="David" w:hAnsi="David"/>
          <w:color w:val="000000"/>
          <w:rtl w:val="true"/>
        </w:rPr>
        <w:t xml:space="preserve">" </w:t>
      </w:r>
      <w:r>
        <w:rPr>
          <w:rFonts w:ascii="David" w:hAnsi="David" w:eastAsia="Calibri"/>
          <w:color w:val="000000"/>
          <w:rtl w:val="true"/>
        </w:rPr>
        <w:t>מ</w:t>
      </w:r>
      <w:r>
        <w:rPr>
          <w:rFonts w:eastAsia="Calibri" w:cs="David" w:ascii="David" w:hAnsi="David"/>
          <w:color w:val="000000"/>
          <w:rtl w:val="true"/>
        </w:rPr>
        <w:t>"</w:t>
      </w:r>
      <w:r>
        <w:rPr>
          <w:rFonts w:ascii="David" w:hAnsi="David" w:eastAsia="Calibri"/>
          <w:color w:val="000000"/>
          <w:rtl w:val="true"/>
        </w:rPr>
        <w:t xml:space="preserve">ר </w:t>
      </w:r>
      <w:r>
        <w:rPr>
          <w:rFonts w:eastAsia="Calibri" w:cs="David" w:ascii="David" w:hAnsi="David"/>
          <w:color w:val="000000"/>
        </w:rPr>
        <w:t>45226401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הרשום על שם אשת </w:t>
      </w:r>
      <w:r>
        <w:rPr>
          <w:rFonts w:ascii="David" w:hAnsi="David" w:eastAsia="Calibri"/>
          <w:color w:val="000000"/>
          <w:rtl w:val="true"/>
        </w:rPr>
        <w:t>ה</w:t>
      </w:r>
      <w:r>
        <w:rPr>
          <w:rFonts w:ascii="David" w:hAnsi="David" w:eastAsia="Calibri"/>
          <w:color w:val="000000"/>
          <w:rtl w:val="true"/>
        </w:rPr>
        <w:t>נאשם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</w:rPr>
        <w:t>1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במועד האמור החזיקו הנאשמים בצוותא ברכב רובה סער דמוי </w:t>
      </w:r>
      <w:r>
        <w:rPr>
          <w:rFonts w:eastAsia="Calibri" w:cs="David" w:ascii="David" w:hAnsi="David"/>
          <w:color w:val="000000"/>
        </w:rPr>
        <w:t>16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</w:rPr>
        <w:t>M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טעון במחסנית ריקה מתאימה כשהוא עטוף בניילון כחול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מאחורי מושב הנהג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כל זאת בלא רשות על פי דין להחזקתו</w:t>
      </w:r>
      <w:r>
        <w:rPr>
          <w:rFonts w:eastAsia="Calibri"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ראיות המאשימה 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הוגש </w:t>
      </w:r>
      <w:r>
        <w:rPr>
          <w:rFonts w:ascii="David" w:hAnsi="David" w:eastAsia="David"/>
          <w:rtl w:val="true"/>
        </w:rPr>
        <w:t>גיליון הרשעות פלילי</w:t>
      </w:r>
      <w:r>
        <w:rPr>
          <w:rFonts w:ascii="David" w:hAnsi="David" w:eastAsia="David"/>
          <w:rtl w:val="true"/>
        </w:rPr>
        <w:t xml:space="preserve"> של הנאשם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567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העבירה בה הורשע הנאשם תוך מתן דגש על תופעת האלימות באמצעות נשק 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 וביטחונו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 והרכוש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נשק תורמת להגדלת מעגל האלימות ולתוצאות הקשות הנובעות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 שיש להוקיעה מהשורש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והפנתה לתיקון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בדבר קביעת עונש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 xml:space="preserve"> מינימום בעבירות נשק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תיקון שיש בו כדי להצביע על רצון המחוקק והצורך להחמיר בעבירות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הקשורות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הדגישה כי </w:t>
      </w:r>
      <w:r>
        <w:rPr>
          <w:rFonts w:ascii="David" w:hAnsi="David" w:eastAsia="Calibri"/>
          <w:rtl w:val="true"/>
        </w:rPr>
        <w:t>מ</w:t>
      </w:r>
      <w:r>
        <w:rPr>
          <w:rFonts w:ascii="David" w:hAnsi="David" w:eastAsia="Calibri"/>
          <w:rtl w:val="true"/>
        </w:rPr>
        <w:t>דובר במעשה מתוכנן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 xml:space="preserve">כאשר </w:t>
      </w:r>
      <w:r>
        <w:rPr>
          <w:rFonts w:ascii="David" w:hAnsi="David" w:eastAsia="Calibri"/>
          <w:rtl w:val="true"/>
        </w:rPr>
        <w:t xml:space="preserve">נסיבות </w:t>
      </w:r>
      <w:r>
        <w:rPr>
          <w:rFonts w:ascii="David" w:hAnsi="David" w:eastAsia="Calibri"/>
          <w:rtl w:val="true"/>
        </w:rPr>
        <w:t>ומטרת החזקת הנשק נותרו בערפל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הפנתה </w:t>
      </w:r>
      <w:r>
        <w:rPr>
          <w:rFonts w:ascii="David" w:hAnsi="David" w:eastAsia="Calibri"/>
          <w:rtl w:val="true"/>
        </w:rPr>
        <w:t xml:space="preserve"> לכך ש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>הינו אדם בגיר ולא מתקיימת כל קרבה ל</w:t>
      </w:r>
      <w:r>
        <w:rPr>
          <w:rFonts w:ascii="David" w:hAnsi="David" w:eastAsia="Calibri"/>
          <w:rtl w:val="true"/>
        </w:rPr>
        <w:t>סייג לאחריות פלילית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</w:t>
      </w:r>
      <w:r>
        <w:rPr>
          <w:rFonts w:ascii="David" w:hAnsi="David" w:eastAsia="Calibri"/>
          <w:rtl w:val="true"/>
        </w:rPr>
        <w:t xml:space="preserve"> הבין היטב את מעשיו והשלכותיהן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היה מצוי במצוקה נפשית ולא קדמה למעשיו התגרות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שאינן 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הפנתה להודאת הנאשם בכתב אישום מתוקן לאחר שנשמעו חלק מהראיות ולעברו הפלילי הכולל הרשעה אחת משנת </w:t>
      </w:r>
      <w:r>
        <w:rPr>
          <w:rFonts w:eastAsia="Calibri" w:cs="David" w:ascii="David" w:hAnsi="David"/>
        </w:rPr>
        <w:t>2017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בגין עבירה של זיוף סימני 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הפנתה לפסיקה רלוונטית וטענה למתחם עונש הולם אשר נע בין </w:t>
      </w:r>
      <w:r>
        <w:rPr>
          <w:rFonts w:eastAsia="Calibri" w:cs="David" w:ascii="David" w:hAnsi="David"/>
        </w:rPr>
        <w:t>2.5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 בצד 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למקם את עונשו של הנאשם ברף הנמוך בינוני של המתחם לצד מאסר מותנה ארוך ומשמעותי וקנס כספי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המאשימה ביקשה לחלט את הרכב בו בוצעה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וציינה כי הגם שהרכב רשום על שמה של אשתו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קיימת זיקה משמעותית בין הרכב לביצוע העבירה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ובין הנאשם לרכב בהיותו המחזיק והמשתמש בו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</w:t>
      </w:r>
      <w:r>
        <w:rPr>
          <w:rFonts w:ascii="David" w:hAnsi="David" w:eastAsia="David"/>
          <w:b/>
          <w:b/>
          <w:bCs/>
          <w:u w:val="single"/>
          <w:rtl w:val="true"/>
        </w:rPr>
        <w:t>הגנה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הפנה להודאתו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לקבלת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הבעת החרטה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ולכך שהפנים את</w:t>
      </w:r>
      <w:r>
        <w:rPr>
          <w:rFonts w:ascii="David" w:hAnsi="David" w:eastAsia="Calibri"/>
          <w:rtl w:val="true"/>
        </w:rPr>
        <w:t xml:space="preserve"> טעותו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עוד ציין כי הגם שהחלה שמיעת הראיות בתיק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בהודאתו הנאשם חסך</w:t>
      </w:r>
      <w:r>
        <w:rPr>
          <w:rFonts w:ascii="David" w:hAnsi="David" w:eastAsia="Calibri"/>
          <w:rtl w:val="true"/>
        </w:rPr>
        <w:t xml:space="preserve"> בזמן שיפוטי יקר </w:t>
      </w:r>
      <w:r>
        <w:rPr>
          <w:rFonts w:ascii="David" w:hAnsi="David" w:eastAsia="Calibri"/>
          <w:rtl w:val="true"/>
        </w:rPr>
        <w:t xml:space="preserve"> מה בפרט שמרבית הראיות </w:t>
      </w:r>
      <w:r>
        <w:rPr>
          <w:rFonts w:ascii="David" w:hAnsi="David" w:eastAsia="Calibri"/>
          <w:rtl w:val="true"/>
        </w:rPr>
        <w:t xml:space="preserve"> הוגשו ב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סכמה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ומבלי להמעיט מחומרת</w:t>
      </w:r>
      <w:r>
        <w:rPr>
          <w:rFonts w:ascii="David" w:hAnsi="David" w:eastAsia="Calibri"/>
          <w:rtl w:val="true"/>
        </w:rPr>
        <w:t xml:space="preserve">ה </w:t>
      </w:r>
      <w:r>
        <w:rPr>
          <w:rFonts w:ascii="David" w:hAnsi="David" w:eastAsia="Calibri"/>
          <w:rtl w:val="true"/>
        </w:rPr>
        <w:t xml:space="preserve">ציין כי </w:t>
      </w:r>
      <w:r>
        <w:rPr>
          <w:rFonts w:ascii="David" w:hAnsi="David" w:eastAsia="Calibri"/>
          <w:rtl w:val="true"/>
        </w:rPr>
        <w:t>לא קיימת נסיבה</w:t>
      </w:r>
      <w:r>
        <w:rPr>
          <w:rFonts w:ascii="David" w:hAnsi="David" w:eastAsia="Calibri"/>
          <w:rtl w:val="true"/>
        </w:rPr>
        <w:t xml:space="preserve"> מחמירה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בפן האישי ולא בפן המשפחתי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מדובר בנאשם שאינו נמנה על משפחת פשע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אינדיקציה לכך כי הנשק הוחזק למטרות עבריינות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זה נרכש דקות ספורות לפני התפיסה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מדובר בהחזקה </w:t>
      </w:r>
      <w:r>
        <w:rPr>
          <w:rFonts w:ascii="David" w:hAnsi="David" w:eastAsia="Calibri"/>
          <w:rtl w:val="true"/>
        </w:rPr>
        <w:t xml:space="preserve">לפרק זמן קצר </w:t>
      </w:r>
      <w:r>
        <w:rPr>
          <w:rFonts w:ascii="David" w:hAnsi="David" w:eastAsia="Calibri"/>
          <w:rtl w:val="true"/>
        </w:rPr>
        <w:t>כשהוא עטוף בניילון עם מחסנית ריקה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לא טעון וללא כדורים </w:t>
      </w:r>
      <w:r>
        <w:rPr>
          <w:rFonts w:ascii="David" w:hAnsi="David" w:eastAsia="Calibri"/>
          <w:rtl w:val="true"/>
        </w:rPr>
        <w:t>כך שלא היה מוכן לשימוש מידי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בהתאם מדובר ברף החומרה הנמוך ביחס לעבירה</w:t>
      </w:r>
      <w:r>
        <w:rPr>
          <w:rFonts w:ascii="David" w:hAnsi="David" w:eastAsia="Calibri"/>
          <w:rtl w:val="true"/>
        </w:rPr>
        <w:t xml:space="preserve"> של החזקת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בכל הקשור לתיקון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עונשי מינימום כוללים גם מאסרים מותנים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ואין חובה שכל התקופה תהיה בדרך של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ונכון במקרה זה </w:t>
      </w:r>
      <w:r>
        <w:rPr>
          <w:rFonts w:ascii="David" w:hAnsi="David" w:eastAsia="Calibri"/>
          <w:rtl w:val="true"/>
        </w:rPr>
        <w:t xml:space="preserve">להגדיל את תקופת המאסר המותנה </w:t>
      </w:r>
      <w:r>
        <w:rPr>
          <w:rFonts w:ascii="David" w:hAnsi="David" w:eastAsia="Calibri"/>
          <w:rtl w:val="true"/>
        </w:rPr>
        <w:t xml:space="preserve">על חשבון </w:t>
      </w:r>
      <w:r>
        <w:rPr>
          <w:rFonts w:ascii="David" w:hAnsi="David" w:eastAsia="Calibri"/>
          <w:rtl w:val="true"/>
        </w:rPr>
        <w:t>תקופת המאסר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</w:t>
      </w:r>
      <w:r>
        <w:rPr>
          <w:rFonts w:ascii="David" w:hAnsi="David" w:eastAsia="Calibri"/>
          <w:rtl w:val="true"/>
        </w:rPr>
        <w:t>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לאבחן את פסיקת </w:t>
      </w:r>
      <w:r>
        <w:rPr>
          <w:rFonts w:ascii="David" w:hAnsi="David" w:eastAsia="Calibri"/>
          <w:rtl w:val="true"/>
        </w:rPr>
        <w:t>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הפנה לפסיקה </w:t>
      </w:r>
      <w:r>
        <w:rPr>
          <w:rFonts w:ascii="David" w:hAnsi="David" w:eastAsia="Calibri"/>
          <w:rtl w:val="true"/>
        </w:rPr>
        <w:t xml:space="preserve">אחרת </w:t>
      </w:r>
      <w:r>
        <w:rPr>
          <w:rFonts w:ascii="David" w:hAnsi="David" w:eastAsia="Calibri"/>
          <w:rtl w:val="true"/>
        </w:rPr>
        <w:t xml:space="preserve">וטען למתחם עונש הולם </w:t>
      </w:r>
      <w:r>
        <w:rPr>
          <w:rFonts w:ascii="David" w:hAnsi="David" w:eastAsia="Calibri"/>
          <w:rtl w:val="true"/>
        </w:rPr>
        <w:t xml:space="preserve">שבין </w:t>
      </w:r>
      <w:r>
        <w:rPr>
          <w:rFonts w:eastAsia="Calibri" w:cs="David" w:ascii="David" w:hAnsi="David"/>
        </w:rPr>
        <w:t>8-18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ביקש למקם את עונשו של הנאשם ברף התחתון של המתחם</w:t>
      </w:r>
      <w:r>
        <w:rPr>
          <w:rFonts w:ascii="David" w:hAnsi="David" w:eastAsia="Calibri"/>
          <w:rtl w:val="true"/>
        </w:rPr>
        <w:t xml:space="preserve"> ו</w:t>
      </w:r>
      <w:r>
        <w:rPr>
          <w:rFonts w:ascii="David" w:hAnsi="David" w:eastAsia="Calibri"/>
          <w:rtl w:val="true"/>
        </w:rPr>
        <w:t xml:space="preserve">להטיל על הנאשם קנס מתון הנע בין </w:t>
      </w:r>
      <w:r>
        <w:rPr>
          <w:rFonts w:eastAsia="Calibri" w:cs="David" w:ascii="David" w:hAnsi="David"/>
        </w:rPr>
        <w:t>3000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4000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 xml:space="preserve">בכל הקשור לעתירת המאשימה </w:t>
      </w:r>
      <w:r>
        <w:rPr>
          <w:rFonts w:ascii="David" w:hAnsi="David" w:eastAsia="Calibri"/>
          <w:rtl w:val="true"/>
        </w:rPr>
        <w:t xml:space="preserve">לחילוט </w:t>
      </w:r>
      <w:r>
        <w:rPr>
          <w:rFonts w:ascii="David" w:hAnsi="David" w:eastAsia="Calibri"/>
          <w:rtl w:val="true"/>
        </w:rPr>
        <w:t>הרכב בו בוצעה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ציין כי מדובר ברכב </w:t>
      </w:r>
      <w:r>
        <w:rPr>
          <w:rFonts w:ascii="David" w:hAnsi="David" w:eastAsia="Calibri"/>
          <w:rtl w:val="true"/>
        </w:rPr>
        <w:t xml:space="preserve">השייך </w:t>
      </w:r>
      <w:r>
        <w:rPr>
          <w:rFonts w:ascii="David" w:hAnsi="David" w:eastAsia="Calibri"/>
          <w:rtl w:val="true"/>
        </w:rPr>
        <w:t xml:space="preserve">לאשת הנאשם אשר נרכש </w:t>
      </w:r>
      <w:r>
        <w:rPr>
          <w:rFonts w:ascii="David" w:hAnsi="David" w:eastAsia="Calibri"/>
          <w:rtl w:val="true"/>
        </w:rPr>
        <w:t xml:space="preserve">על ידה </w:t>
      </w:r>
      <w:r>
        <w:rPr>
          <w:rFonts w:ascii="David" w:hAnsi="David" w:eastAsia="Calibri"/>
          <w:rtl w:val="true"/>
        </w:rPr>
        <w:t>טרם נישואיה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שלא מדובר ברישום בעלות פיקטיבי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</w:t>
      </w:r>
      <w:r>
        <w:rPr>
          <w:rFonts w:ascii="David" w:hAnsi="David" w:eastAsia="Calibri"/>
          <w:rtl w:val="true"/>
        </w:rPr>
        <w:t xml:space="preserve"> ציין כי הרכב נלקח על ידי הנאשם בזמן שאשתו חזרה מעבודתה וישנה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</w:t>
      </w:r>
      <w:r>
        <w:rPr>
          <w:rFonts w:ascii="David" w:hAnsi="David" w:eastAsia="Calibri"/>
          <w:rtl w:val="true"/>
        </w:rPr>
        <w:t xml:space="preserve"> ידעה ולא יכולה הייתה לדעת את מטרת הנסיעה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 בפרט שמדובר בפעם הראשונה בה הנאשם מעורב בעבירות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 את הנזק הנפשי והכלכלי שנגרם לאשתו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העובדה כי איבדה את מקום עבודתה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לא קיבלה קצבה מהביטוח הלאומי בהיותה בעלת רכב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בנסיבות אלו נטען כי חילוט הרכב אינו מידתי ופוגע בזכויות הקניין של אשת הנאשם שהיא בעלת הרכב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העידה גב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אלאא זועבי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אישתו של הנאשם</w:t>
      </w:r>
      <w:r>
        <w:rPr>
          <w:rFonts w:ascii="David" w:hAnsi="David" w:eastAsia="Calibri"/>
          <w:rtl w:val="true"/>
        </w:rPr>
        <w:t xml:space="preserve"> ש</w:t>
      </w:r>
      <w:r>
        <w:rPr>
          <w:rFonts w:ascii="David" w:hAnsi="David" w:eastAsia="Calibri"/>
          <w:rtl w:val="true"/>
        </w:rPr>
        <w:t>ביקשה להחזיר את הרכב בו בוצעה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והעידה כי הרכב נ</w:t>
      </w:r>
      <w:r>
        <w:rPr>
          <w:rFonts w:ascii="David" w:hAnsi="David" w:eastAsia="Calibri"/>
          <w:rtl w:val="true"/>
        </w:rPr>
        <w:t>רכש טרם נישואיה</w:t>
      </w:r>
      <w:r>
        <w:rPr>
          <w:rFonts w:ascii="David" w:hAnsi="David" w:eastAsia="Calibri"/>
          <w:rtl w:val="true"/>
        </w:rPr>
        <w:t xml:space="preserve"> עם</w:t>
      </w:r>
      <w:r>
        <w:rPr>
          <w:rFonts w:ascii="David" w:hAnsi="David" w:eastAsia="Calibri"/>
          <w:rtl w:val="true"/>
        </w:rPr>
        <w:t xml:space="preserve"> הנאשם והיא המשתמשת העיקרית 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הפנתה לנסיבותיה האישיות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 xml:space="preserve">טיפולי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פוריות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עזרה והתמיכה אותם הנאשם מעניק לה ולמשפח</w:t>
      </w:r>
      <w:r>
        <w:rPr>
          <w:rFonts w:ascii="David" w:hAnsi="David" w:eastAsia="Calibri"/>
          <w:rtl w:val="true"/>
        </w:rPr>
        <w:t>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הביעה סלידה ממעשיו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עם זאת ציינה כי </w:t>
      </w:r>
      <w:r>
        <w:rPr>
          <w:rFonts w:ascii="David" w:hAnsi="David" w:eastAsia="Calibri"/>
          <w:rtl w:val="true"/>
        </w:rPr>
        <w:t xml:space="preserve">הוא </w:t>
      </w:r>
      <w:r>
        <w:rPr>
          <w:rFonts w:ascii="David" w:hAnsi="David" w:eastAsia="Calibri"/>
          <w:rtl w:val="true"/>
        </w:rPr>
        <w:t>הביע בפניה חרטה כנה ועמוקה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הדגישה את המחיר הכבד שהמשפחה שילמה בעקבות מעשיו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ביקשה להתחשב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לאפשר לו לחזור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חיים נורמטיביים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העידה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סאידה סילאווי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חמתו של הנאשם</w:t>
      </w:r>
      <w:r>
        <w:rPr>
          <w:rFonts w:ascii="David" w:hAnsi="David" w:eastAsia="Calibri"/>
          <w:rtl w:val="true"/>
        </w:rPr>
        <w:t xml:space="preserve"> ש</w:t>
      </w:r>
      <w:r>
        <w:rPr>
          <w:rFonts w:ascii="David" w:hAnsi="David" w:eastAsia="Calibri"/>
          <w:rtl w:val="true"/>
        </w:rPr>
        <w:t>ביקשה לאפשר לנאשם לחזור לאשתו ולמשפחתו וקיוותה שתזכה לראותם כהורים לילדים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הפנתה למצבה הנפשי הירוד של אשתו של הנאשם ועל העזרה שהיא קיבלה </w:t>
      </w:r>
      <w:r>
        <w:rPr>
          <w:rFonts w:ascii="David" w:hAnsi="David" w:eastAsia="Calibri"/>
          <w:rtl w:val="true"/>
        </w:rPr>
        <w:t>מהם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ואת הקושי </w:t>
      </w:r>
      <w:r>
        <w:rPr>
          <w:rFonts w:ascii="David" w:hAnsi="David" w:eastAsia="Calibri"/>
          <w:rtl w:val="true"/>
        </w:rPr>
        <w:t xml:space="preserve">הרב </w:t>
      </w:r>
      <w:r>
        <w:rPr>
          <w:rFonts w:ascii="David" w:hAnsi="David" w:eastAsia="Calibri"/>
          <w:rtl w:val="true"/>
        </w:rPr>
        <w:t>בעקבות מעצרו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ביקשה להתחשב בנאשם ול</w:t>
      </w:r>
      <w:r>
        <w:rPr>
          <w:rFonts w:ascii="David" w:hAnsi="David" w:eastAsia="Calibri"/>
          <w:rtl w:val="true"/>
        </w:rPr>
        <w:t>אפשר לו ל</w:t>
      </w:r>
      <w:r>
        <w:rPr>
          <w:rFonts w:ascii="David" w:hAnsi="David" w:eastAsia="Calibri"/>
          <w:rtl w:val="true"/>
        </w:rPr>
        <w:t>חזור לחיים נורמטיביים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עצמו הודה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לקח אחריות על ביצועה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הביע 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כי הפנים את טעותו ו</w:t>
      </w:r>
      <w:r>
        <w:rPr>
          <w:rFonts w:ascii="David" w:hAnsi="David" w:eastAsia="Calibri"/>
          <w:rtl w:val="true"/>
        </w:rPr>
        <w:t>כל רצונו להקים משפחה עם אשתו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</w:t>
      </w:r>
      <w:r>
        <w:rPr>
          <w:rFonts w:ascii="David" w:hAnsi="David" w:eastAsia="Calibri"/>
          <w:rtl w:val="true"/>
        </w:rPr>
        <w:t xml:space="preserve">ציין כי אשתו לא הייתה מודעת </w:t>
      </w:r>
      <w:r>
        <w:rPr>
          <w:rFonts w:ascii="David" w:hAnsi="David" w:eastAsia="Calibri"/>
          <w:rtl w:val="true"/>
        </w:rPr>
        <w:t>למעשיו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17">
        <w:r>
          <w:rPr>
            <w:rStyle w:val="Hyperlink"/>
            <w:rFonts w:ascii="David" w:hAnsi="David" w:eastAsia="David"/>
            <w:rtl w:val="true"/>
          </w:rPr>
          <w:t>ו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1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סעיפים </w:t>
      </w:r>
      <w:hyperlink r:id="rId19"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>-</w:t>
      </w:r>
      <w:hyperlink r:id="rId20">
        <w:r>
          <w:rPr>
            <w:rStyle w:val="Hyperlink"/>
            <w:rFonts w:ascii="David" w:hAnsi="David" w:eastAsia="David"/>
            <w:rtl w:val="true"/>
          </w:rPr>
          <w:t>טו</w:t>
        </w:r>
      </w:hyperlink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21"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העבירות נשוא כתב האישום המתוקן הינם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spacing w:val="10"/>
          <w:rtl w:val="true"/>
        </w:rPr>
        <w:t>הצורך בשמירה 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שלום הציבור ותחושת בטחונו מפני פגיעות בגוף ובנפש ו</w:t>
      </w:r>
      <w:r>
        <w:rPr>
          <w:rFonts w:ascii="David" w:hAnsi="David" w:eastAsia="David"/>
          <w:rtl w:val="true"/>
          <w:lang w:eastAsia="he-IL"/>
        </w:rPr>
        <w:t xml:space="preserve">הצורך בשמירה על </w:t>
      </w:r>
      <w:r>
        <w:rPr>
          <w:rFonts w:ascii="David" w:hAnsi="David" w:eastAsia="David"/>
          <w:rtl w:val="true"/>
          <w:lang w:eastAsia="he-IL"/>
        </w:rPr>
        <w:t>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</w:t>
      </w:r>
      <w:r>
        <w:rPr>
          <w:rFonts w:ascii="David" w:hAnsi="David" w:eastAsia="David"/>
          <w:rtl w:val="true"/>
          <w:lang w:eastAsia="he-IL"/>
        </w:rPr>
        <w:t xml:space="preserve">החזיק </w:t>
      </w:r>
      <w:r>
        <w:rPr>
          <w:rFonts w:ascii="David" w:hAnsi="David" w:eastAsia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ב</w:t>
      </w:r>
      <w:r>
        <w:rPr>
          <w:rFonts w:ascii="David" w:hAnsi="David" w:eastAsia="David"/>
          <w:rtl w:val="true"/>
          <w:lang w:eastAsia="he-IL"/>
        </w:rPr>
        <w:t>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hyperlink r:id="rId2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2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אם קיימת התערבות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לאחרונה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נאמרו על ידִי הדברים הבאים במסגרת </w:t>
      </w:r>
      <w:hyperlink r:id="rId24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בסילה</w:t>
      </w:r>
      <w:r>
        <w:rPr>
          <w:rFonts w:eastAsia="David" w:cs="David" w:ascii="David" w:hAnsi="David"/>
          <w:b/>
          <w:bCs/>
          <w:rtl w:val="true"/>
        </w:rPr>
        <w:t>: '</w:t>
      </w:r>
      <w:r>
        <w:rPr>
          <w:rFonts w:ascii="David" w:hAnsi="David" w:eastAsia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 מדינה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של ממש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ראו לאחרונה</w:t>
      </w:r>
      <w:r>
        <w:rPr>
          <w:rFonts w:eastAsia="David" w:cs="David" w:ascii="David" w:hAnsi="David"/>
          <w:b/>
          <w:bCs/>
          <w:rtl w:val="true"/>
        </w:rPr>
        <w:t xml:space="preserve">: </w:t>
      </w:r>
      <w:hyperlink r:id="rId2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7473/20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מחאמיד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24</w:t>
      </w:r>
      <w:r>
        <w:rPr>
          <w:rFonts w:eastAsia="David" w:cs="David" w:ascii="David" w:hAnsi="David"/>
          <w:b/>
          <w:bCs/>
          <w:rtl w:val="true"/>
        </w:rPr>
        <w:t xml:space="preserve"> [</w:t>
      </w:r>
      <w:r>
        <w:rPr>
          <w:rFonts w:ascii="David" w:hAnsi="David" w:eastAsia="David"/>
          <w:b/>
          <w:b/>
          <w:bCs/>
          <w:rtl w:val="true"/>
        </w:rPr>
        <w:t>פורסם בנבו</w:t>
      </w:r>
      <w:r>
        <w:rPr>
          <w:rFonts w:eastAsia="David" w:cs="David" w:ascii="David" w:hAnsi="David"/>
          <w:b/>
          <w:bCs/>
          <w:rtl w:val="true"/>
        </w:rPr>
        <w:t>] (</w:t>
      </w:r>
      <w:r>
        <w:rPr>
          <w:rFonts w:eastAsia="David" w:cs="David" w:ascii="David" w:hAnsi="David"/>
          <w:b/>
          <w:bCs/>
        </w:rPr>
        <w:t>29.6.2021</w:t>
      </w:r>
      <w:r>
        <w:rPr>
          <w:rFonts w:eastAsia="David" w:cs="David" w:ascii="David" w:hAnsi="David"/>
          <w:b/>
          <w:bCs/>
          <w:rtl w:val="true"/>
        </w:rPr>
        <w:t xml:space="preserve">); </w:t>
      </w:r>
      <w:hyperlink r:id="rId2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5993/21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סאלח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8</w:t>
      </w:r>
      <w:r>
        <w:rPr>
          <w:rFonts w:eastAsia="David" w:cs="David" w:ascii="David" w:hAnsi="David"/>
          <w:b/>
          <w:bCs/>
          <w:rtl w:val="true"/>
        </w:rPr>
        <w:t xml:space="preserve"> [</w:t>
      </w:r>
      <w:r>
        <w:rPr>
          <w:rFonts w:ascii="David" w:hAnsi="David" w:eastAsia="David"/>
          <w:b/>
          <w:b/>
          <w:bCs/>
          <w:rtl w:val="true"/>
        </w:rPr>
        <w:t>פורסם בנבו</w:t>
      </w:r>
      <w:r>
        <w:rPr>
          <w:rFonts w:eastAsia="David" w:cs="David" w:ascii="David" w:hAnsi="David"/>
          <w:b/>
          <w:bCs/>
          <w:rtl w:val="true"/>
        </w:rPr>
        <w:t>] (</w:t>
      </w:r>
      <w:r>
        <w:rPr>
          <w:rFonts w:eastAsia="David" w:cs="David" w:ascii="David" w:hAnsi="David"/>
          <w:b/>
          <w:bCs/>
        </w:rPr>
        <w:t>29.11.2021</w:t>
      </w:r>
      <w:r>
        <w:rPr>
          <w:rFonts w:eastAsia="David" w:cs="David" w:ascii="David" w:hAnsi="David"/>
          <w:b/>
          <w:bCs/>
          <w:rtl w:val="true"/>
        </w:rPr>
        <w:t xml:space="preserve">); </w:t>
      </w:r>
      <w:hyperlink r:id="rId27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8416/20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עייאט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מדינת ישראל </w:t>
      </w:r>
      <w:r>
        <w:rPr>
          <w:rFonts w:eastAsia="David" w:cs="David" w:ascii="David" w:hAnsi="David"/>
          <w:b/>
          <w:bCs/>
          <w:rtl w:val="true"/>
        </w:rPr>
        <w:t>[</w:t>
      </w:r>
      <w:r>
        <w:rPr>
          <w:rFonts w:ascii="David" w:hAnsi="David" w:eastAsia="David"/>
          <w:b/>
          <w:b/>
          <w:bCs/>
          <w:rtl w:val="true"/>
        </w:rPr>
        <w:t>פורסם בנבו</w:t>
      </w:r>
      <w:r>
        <w:rPr>
          <w:rFonts w:eastAsia="David" w:cs="David" w:ascii="David" w:hAnsi="David"/>
          <w:b/>
          <w:bCs/>
          <w:rtl w:val="true"/>
        </w:rPr>
        <w:t>] (</w:t>
      </w:r>
      <w:r>
        <w:rPr>
          <w:rFonts w:eastAsia="David" w:cs="David" w:ascii="David" w:hAnsi="David"/>
          <w:b/>
          <w:bCs/>
        </w:rPr>
        <w:t>2.9.2021</w:t>
      </w:r>
      <w:r>
        <w:rPr>
          <w:rFonts w:eastAsia="David" w:cs="David" w:ascii="David" w:hAnsi="David"/>
          <w:b/>
          <w:bCs/>
          <w:rtl w:val="true"/>
        </w:rPr>
        <w:t xml:space="preserve">)). </w:t>
      </w:r>
      <w:r>
        <w:rPr>
          <w:rFonts w:ascii="David" w:hAnsi="David" w:eastAsia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 בכדי נתקבל עתה תיקון ל</w:t>
      </w:r>
      <w:hyperlink r:id="rId2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תיקון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140</w:t>
      </w:r>
      <w:r>
        <w:rPr>
          <w:rFonts w:eastAsia="David" w:cs="David" w:ascii="David" w:hAnsi="David"/>
          <w:b/>
          <w:bCs/>
          <w:rtl w:val="true"/>
        </w:rPr>
        <w:t xml:space="preserve"> – </w:t>
      </w:r>
      <w:r>
        <w:rPr>
          <w:rFonts w:ascii="David" w:hAnsi="David" w:eastAsia="David"/>
          <w:b/>
          <w:b/>
          <w:bCs/>
          <w:rtl w:val="true"/>
        </w:rPr>
        <w:t>הוראת שעה</w:t>
      </w:r>
      <w:r>
        <w:rPr>
          <w:rFonts w:eastAsia="David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>התשפ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ב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2021</w:t>
      </w:r>
      <w:r>
        <w:rPr>
          <w:rFonts w:eastAsia="David" w:cs="David" w:ascii="David" w:hAnsi="David"/>
          <w:b/>
          <w:bCs/>
          <w:rtl w:val="true"/>
        </w:rPr>
        <w:t xml:space="preserve">) – </w:t>
      </w:r>
      <w:r>
        <w:rPr>
          <w:rFonts w:ascii="David" w:hAnsi="David" w:eastAsia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rtl w:val="true"/>
        </w:rPr>
        <w:t>' (</w:t>
      </w:r>
      <w:r>
        <w:rPr>
          <w:rFonts w:ascii="David" w:hAnsi="David" w:eastAsia="David"/>
          <w:b/>
          <w:b/>
          <w:bCs/>
          <w:rtl w:val="true"/>
        </w:rPr>
        <w:t>שם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25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2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3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rtl w:val="true"/>
        </w:rPr>
        <w:t>לגופם של דברים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כתוצאה מכך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על מנת לשדר מסר מרתיע מפני ביצוען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ראו למשל ב</w:t>
      </w:r>
      <w:hyperlink r:id="rId3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סובח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פסקאות </w:t>
      </w:r>
      <w:r>
        <w:rPr>
          <w:rFonts w:eastAsia="David" w:cs="David" w:ascii="David" w:hAnsi="David"/>
          <w:b/>
          <w:bCs/>
        </w:rPr>
        <w:t>16</w:t>
      </w:r>
      <w:r>
        <w:rPr>
          <w:rFonts w:eastAsia="David" w:cs="David" w:ascii="David" w:hAnsi="David"/>
          <w:b/>
          <w:bCs/>
          <w:rtl w:val="true"/>
        </w:rPr>
        <w:t>–</w:t>
      </w:r>
      <w:r>
        <w:rPr>
          <w:rFonts w:eastAsia="David" w:cs="David" w:ascii="David" w:hAnsi="David"/>
          <w:b/>
          <w:bCs/>
        </w:rPr>
        <w:t>17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לחוות דעתי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eastAsia="David" w:cs="David" w:ascii="David" w:hAnsi="David"/>
          <w:b/>
          <w:bCs/>
        </w:rPr>
        <w:t>5.11.2019</w:t>
      </w:r>
      <w:r>
        <w:rPr>
          <w:rFonts w:eastAsia="David" w:cs="David" w:ascii="David" w:hAnsi="David"/>
          <w:b/>
          <w:bCs/>
          <w:rtl w:val="true"/>
        </w:rPr>
        <w:t xml:space="preserve">); </w:t>
      </w:r>
      <w:hyperlink r:id="rId3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7344/18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מג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יד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(</w:t>
      </w:r>
      <w:r>
        <w:rPr>
          <w:rFonts w:eastAsia="David" w:cs="David" w:ascii="David" w:hAnsi="David"/>
          <w:b/>
          <w:bCs/>
        </w:rPr>
        <w:t>21.10.2018</w:t>
      </w:r>
      <w:r>
        <w:rPr>
          <w:rFonts w:eastAsia="David" w:cs="David" w:ascii="David" w:hAnsi="David"/>
          <w:b/>
          <w:bCs/>
          <w:rtl w:val="true"/>
        </w:rPr>
        <w:t>))."</w:t>
      </w: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העבירה פורטו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 + </w:t>
      </w:r>
      <w:hyperlink r:id="rId34"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1332/04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4"/>
          <w:szCs w:val="4"/>
        </w:rPr>
      </w:pPr>
      <w:r>
        <w:rPr>
          <w:rFonts w:eastAsia="David" w:cs="David" w:ascii="David" w:hAnsi="David"/>
          <w:sz w:val="4"/>
          <w:szCs w:val="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כאמור הנאשם החזיק בצוותא עם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ברכב נשק מסוג רובה סער דמוי </w:t>
      </w:r>
      <w:r>
        <w:rPr>
          <w:rFonts w:eastAsia="Calibri" w:cs="David" w:ascii="David" w:hAnsi="David"/>
        </w:rPr>
        <w:t>M</w:t>
      </w:r>
      <w:r>
        <w:rPr>
          <w:rFonts w:eastAsia="Calibri" w:cs="David" w:ascii="David" w:hAnsi="David"/>
        </w:rPr>
        <w:t>-16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טעון במחסנית ריקה מתאימה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עטוף בניילון מאחורי מושב הנהג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>הנאשם אינו מורשה כדין להחזיק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עבר כל הכשרה </w:t>
      </w:r>
      <w:r>
        <w:rPr>
          <w:rFonts w:ascii="David" w:hAnsi="David" w:eastAsia="Calibri"/>
          <w:rtl w:val="true"/>
        </w:rPr>
        <w:t xml:space="preserve">מותרת </w:t>
      </w:r>
      <w:r>
        <w:rPr>
          <w:rFonts w:ascii="David" w:hAnsi="David" w:eastAsia="Calibri"/>
          <w:rtl w:val="true"/>
        </w:rPr>
        <w:t xml:space="preserve">ויש בעצם החזקתו של הנשק </w:t>
      </w:r>
      <w:r>
        <w:rPr>
          <w:rFonts w:ascii="David" w:hAnsi="David"/>
          <w:rtl w:val="true"/>
        </w:rPr>
        <w:t>כדי להוות סכנה לציבור ללא קשר למטרות החזקתו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 מדובר באירוע ספונטני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אם באירוע מתוכנן והנאשם היה מודע היטב לאיסור שבהחזקת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וחלקו בביצוע העבירה הינו מרכזי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הנאשם היה יכול בנקל להימנע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הוא לא עשה כן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מדובר בנשק מסוג רובה סער שעוצמתו רבה ופוטנציאל הנזק הנשקף ממנו רב ביותר וקטלני בהיותו כלי נשק מסוג 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מקלע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בנסיבה שחומרתה רבה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אמנם הנשק נתפס עם מחסנית ריקה עטוף בניילון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מטרת ההחזקה לא הובררה והנאשם לא נתן כל הסבר 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ואין להניח לטובת הנאשם כי מטרת החזקת הנשק הייתה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תמימה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רובה סער הינו נשק תקיפה רב עצמה שעלול היה למצוא את דרכו לידי עבריינים שהיו עושים בו שימוש פוגעני וקטלני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חומרה נוספת יש לייחס לעובדה שהנשק הוחזק ברכב במרכז העיר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מבלי להתעלם מהעובדה שהנאשם לא הורשע בעבירה של נשיאה והובלת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בעבירה הפחות חמורה של החזקת נשק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מאחר וכתב האישום לא מציין את פרק הזמן </w:t>
      </w:r>
      <w:r>
        <w:rPr>
          <w:rFonts w:ascii="David" w:hAnsi="David" w:eastAsia="Calibri"/>
          <w:rtl w:val="true"/>
        </w:rPr>
        <w:t xml:space="preserve"> בו </w:t>
      </w:r>
      <w:r>
        <w:rPr>
          <w:rFonts w:ascii="David" w:hAnsi="David" w:eastAsia="Calibri"/>
          <w:rtl w:val="true"/>
        </w:rPr>
        <w:t xml:space="preserve">החזיק הנאשם 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>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להניח לטובתו כ</w:t>
      </w:r>
      <w:r>
        <w:rPr>
          <w:rFonts w:ascii="David" w:hAnsi="David" w:eastAsia="Calibri"/>
          <w:rtl w:val="true"/>
        </w:rPr>
        <w:t xml:space="preserve">פי טענתו </w:t>
      </w:r>
      <w:r>
        <w:rPr>
          <w:rFonts w:ascii="David" w:hAnsi="David" w:eastAsia="Calibri"/>
          <w:rtl w:val="true"/>
        </w:rPr>
        <w:t>כי הוא עשה כן לפרק זמן קצר</w:t>
      </w:r>
      <w:r>
        <w:rPr>
          <w:rFonts w:ascii="David" w:hAnsi="David" w:eastAsia="Calibri"/>
          <w:rtl w:val="true"/>
        </w:rPr>
        <w:t xml:space="preserve"> שלא עלה על זמן הנסיעה ברכב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יצוין כי הנשק הוחזק ללא 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שלא ניתן היה לעשות בו שימוש באופן מידי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 מצויה ברף הבינוני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tLeast" w:line="360"/>
        <w:ind w:end="0"/>
        <w:jc w:val="both"/>
        <w:rPr>
          <w:rFonts w:ascii="David" w:hAnsi="David" w:eastAsia="David" w:cs="David"/>
          <w:sz w:val="36"/>
          <w:szCs w:val="36"/>
        </w:rPr>
      </w:pPr>
      <w:r>
        <w:rPr>
          <w:rFonts w:eastAsia="David" w:cs="David" w:ascii="David" w:hAnsi="David"/>
          <w:sz w:val="36"/>
          <w:szCs w:val="36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36"/>
          <w:szCs w:val="36"/>
          <w:u w:val="single"/>
        </w:rPr>
      </w:pPr>
      <w:r>
        <w:rPr>
          <w:rFonts w:eastAsia="David" w:cs="David" w:ascii="David" w:hAnsi="David"/>
          <w:b/>
          <w:bCs/>
          <w:sz w:val="36"/>
          <w:szCs w:val="36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2482/22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קדורה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עבר פלילי הורשע בעבירה של החזקת נשק מסוג אקדח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כדורים לאקדח ורימון הלם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וזאת בין היתר לאור</w:t>
      </w:r>
      <w:r>
        <w:rPr>
          <w:rFonts w:ascii="David" w:hAnsi="David" w:eastAsia="Calibri"/>
          <w:rtl w:val="true"/>
        </w:rPr>
        <w:t xml:space="preserve"> התקופה הקצרה שבה הוחזק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קולת העונש התקבל באופן שעונשו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3355/22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עלאא סלאמה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בעבירת החזקת נשק ותקיפת שוטר לאחר שהחזיק בחצר ביתו לתקופה שאינה ידועה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 תתי מקלע מאולתרים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ריקה תואמת ותרמיל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המדינה על קולת העונש התקבל ונקבע מתחם עונש הולם שבין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</w:t>
      </w:r>
      <w:r>
        <w:rPr>
          <w:rFonts w:ascii="David" w:hAnsi="David" w:eastAsia="Calibri"/>
          <w:rtl w:val="true"/>
        </w:rPr>
        <w:t xml:space="preserve">ועונשו של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 xml:space="preserve">הועמד </w:t>
      </w:r>
      <w:r>
        <w:rPr>
          <w:rFonts w:ascii="David" w:hAnsi="David" w:eastAsia="Calibri"/>
          <w:rtl w:val="true"/>
        </w:rPr>
        <w:t xml:space="preserve">על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בקשת רשות ערעור נדחתה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  <w:rtl w:val="true"/>
        </w:rPr>
        <w:t>‏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מחמד בסילה</w:t>
      </w:r>
      <w:r>
        <w:rPr>
          <w:rFonts w:ascii="David" w:hAnsi="David" w:eastAsia="Calibri"/>
          <w:rtl w:val="true"/>
        </w:rPr>
        <w:t xml:space="preserve"> הנאשם הורשע בעבירת החזקת נשק ואביזרי 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שהסתירם בחדר השינה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על קולת העונש התקבל באופן שעונשו הועמד על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3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2141/21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איתן חניני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הורשע בהחזקת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בכך שהצטייד באקדח אוויר שבוצעו בו שינויים שמאפשרים ירי של תחמושת בקליבר </w:t>
      </w:r>
      <w:r>
        <w:rPr>
          <w:rFonts w:eastAsia="Calibri" w:cs="David" w:ascii="David" w:hAnsi="David"/>
        </w:rPr>
        <w:t>7.65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ובכדורים תואמים –ללא רישיון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הנשק נתפס בחצר קרובה לביתו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נושא את האקדח על גופו ובתוכו ארבעה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אשר נע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נגזרו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hyperlink r:id="rId39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4673-08-19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אבו מוסא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בעבירה של החזקת תת מקלע מאולתר מתחת למיטה בביתו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מתחם העונש ההולם אשר נע בין שנה וחצי ועד שלוש 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הנאשם ללא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הושת עונש של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</w:t>
      </w:r>
      <w:hyperlink r:id="rId40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22885-05-17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אלאסד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 הנאשם הורשע בעבירה של החזקת נשק בכך שהחזיק 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 xml:space="preserve">תת מקלע מאולתר ומחסנית המכילה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קליעים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נע בין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בעל עבר פלילי שאינו מכביד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הושת עונש מאסר בפועל בן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</w:t>
      </w:r>
      <w:hyperlink r:id="rId4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26133-06-22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כחלול</w:t>
      </w:r>
      <w:r>
        <w:rPr>
          <w:rFonts w:ascii="David" w:hAnsi="David" w:eastAsia="Calibri"/>
          <w:rtl w:val="true"/>
        </w:rPr>
        <w:t xml:space="preserve"> הנאשם הורשע בהחזקת תת מקלע מאלתר דמוי קרלו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מחסניות 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בתוך תיק שהוחבא מתחת לגרוטאת רכב נטוש סמוך לביתו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נע בין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לצד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הנאש נגזר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לאור גילו הצעיר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העדר עבר פלילי והמלצת שירות המבחן עונש של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וענישה נלוות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קולת העונש התקבל באופן שעונשו של הנאשם הוחמר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המאשימה הפנתה למספר פסקי דין כאשר מתחמי העונש שנקבעו נעים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והעונשים </w:t>
      </w:r>
      <w:r>
        <w:rPr>
          <w:rFonts w:ascii="David" w:hAnsi="David"/>
          <w:rtl w:val="true"/>
        </w:rPr>
        <w:t>שהוטלו  היו בטווח ש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הפנה למספר פסקי דין כאשר </w:t>
      </w:r>
      <w:r>
        <w:rPr>
          <w:rFonts w:ascii="David" w:hAnsi="David"/>
          <w:rtl w:val="true"/>
        </w:rPr>
        <w:t xml:space="preserve">מתחמי הענישה נעים בין מספר חודשי מאסר בעבודות שירות 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העונשים 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בעבודות שירות</w:t>
      </w:r>
      <w:r>
        <w:rPr>
          <w:rFonts w:ascii="David" w:hAnsi="David"/>
          <w:rtl w:val="true"/>
        </w:rPr>
        <w:t xml:space="preserve"> ועד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91" w:end="0"/>
        <w:jc w:val="both"/>
        <w:rPr>
          <w:rFonts w:ascii="David" w:hAnsi="David" w:eastAsia="David" w:cs="David"/>
          <w:b/>
          <w:bCs/>
          <w:sz w:val="6"/>
          <w:szCs w:val="6"/>
          <w:u w:val="single"/>
        </w:rPr>
      </w:pPr>
      <w:r>
        <w:rPr>
          <w:rFonts w:eastAsia="David" w:cs="David" w:ascii="David" w:hAnsi="David"/>
          <w:b/>
          <w:bCs/>
          <w:sz w:val="6"/>
          <w:szCs w:val="6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 xml:space="preserve">העונש המרבי הקבוע בחוק ביחס לעבירה של החזקת נשק הוא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14"/>
          <w:szCs w:val="14"/>
          <w:u w:val="single"/>
        </w:rPr>
      </w:pPr>
      <w:r>
        <w:rPr>
          <w:rFonts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>לאחר ששקלתי את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ביצועּן כמפורט לעיל הערכים החברתיים עליהם יש להגן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 והפסיקה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כי מתחם העונש ההולם צריך לכלול רכיב של מאסר בפועל שלא יפחת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ולא יעלה על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2" w:before="0" w:after="1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לקולה אני מביא בחשבון את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הודאתו של הנאשם בכתב האישום המתוקן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החיסכון בזמן שיפוטי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הגם שהתקיימו מספר דיוני הוכחות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קבלת האחריות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הבעת החרטה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תקופת המעצר בה הנאשם היה נתון עד היום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כידוע תנאי מעצר קשים מתנאי מאסר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ascii="David" w:hAnsi="David" w:eastAsia="Calibri"/>
          <w:rtl w:val="true"/>
        </w:rPr>
        <w:t>והשלכות המאסר על הנאשם ומשפחתו</w:t>
      </w:r>
      <w:r>
        <w:rPr>
          <w:rFonts w:ascii="David" w:hAnsi="David" w:eastAsia="Calibri"/>
          <w:rtl w:val="true"/>
        </w:rPr>
        <w:t xml:space="preserve"> ובפרט על אשתו  ועל מאמציהם להרחיב את התא המשפחתי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 xml:space="preserve">חומרה אני מביא בחשבון את עברו הפלילי של הנאשם הכולל הרשעה אחת משנת </w:t>
      </w:r>
      <w:r>
        <w:rPr>
          <w:rFonts w:eastAsia="Calibri" w:cs="David" w:ascii="David" w:hAnsi="David"/>
        </w:rPr>
        <w:t>2017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בגין עבירה של זיוף סימני 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יצוין כי לא מדובר בנסיבה שחומרתה רבה נוכח מהות העבירה והזמן שחלף מאז ביצועה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David" w:cs="David"/>
          <w:sz w:val="2"/>
          <w:szCs w:val="2"/>
          <w:u w:val="single"/>
        </w:rPr>
      </w:pPr>
      <w:r>
        <w:rPr>
          <w:rFonts w:eastAsia="David" w:cs="David" w:ascii="David" w:hAnsi="David"/>
          <w:sz w:val="2"/>
          <w:szCs w:val="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8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>במכלול הנסיבות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ובהתחשב בנסיבות לקולה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סבור שנכון לגזור על הנאשם עונש מאסר בפועל</w:t>
      </w:r>
      <w:r>
        <w:rPr>
          <w:rFonts w:ascii="David" w:hAnsi="David"/>
          <w:rtl w:val="true"/>
        </w:rPr>
        <w:t xml:space="preserve"> ברף התחתון של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8"/>
          <w:szCs w:val="8"/>
          <w:u w:val="single"/>
        </w:rPr>
      </w:pPr>
      <w:r>
        <w:rPr>
          <w:rFonts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pacing w:lineRule="auto" w:line="360" w:before="280" w:after="280"/>
        <w:ind w:firstLine="36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עתירת המאשימה לחילוט הרכב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כאמור </w:t>
      </w:r>
      <w:r>
        <w:rPr>
          <w:rFonts w:ascii="David" w:hAnsi="David" w:eastAsia="David"/>
          <w:rtl w:val="true"/>
        </w:rPr>
        <w:t>המאשימה עתרה לחילוט הרכב בו בוצעה העבירה</w:t>
      </w:r>
      <w:r>
        <w:rPr>
          <w:rFonts w:ascii="David" w:hAnsi="David" w:eastAsia="David"/>
          <w:rtl w:val="true"/>
        </w:rPr>
        <w:t xml:space="preserve"> וההגנה התנגדה לכך מהטעמים שפורטו לעיל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4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קובע כי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על אף האמור בכל 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רשאי בית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בנוסף על כל עונש שיטיל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לצוות על חילוט החפץ שנתפס לפי סעיף 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או שהגיע לידי המשטרה כאמור בסעיף </w:t>
      </w:r>
      <w:r>
        <w:rPr>
          <w:rFonts w:cs="David" w:ascii="David" w:hAnsi="David"/>
          <w:b/>
          <w:bCs/>
        </w:rPr>
        <w:t>33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אם האדם שהורשע במעשה העבירה שנעשה בחפץ או לגביו </w:t>
      </w:r>
      <w:r>
        <w:rPr>
          <w:rFonts w:ascii="David" w:hAnsi="David"/>
          <w:b/>
          <w:b/>
          <w:bCs/>
          <w:u w:val="single"/>
          <w:rtl w:val="true"/>
        </w:rPr>
        <w:t>הוא בעל החפץ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דין צו זה כדין עונש שהוטל על הנאשם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ההדגשה שלי ג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סמכות החילוט נתונה לבית המשפט והיא סמכות שברשות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בהקשר זה 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אלרון ב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9104-20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דוד טבצ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ניקוב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סמכותו של בית המשפט להורות על חילוט רכוש על פי סעיפים 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4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נוסח חדש</w:t>
      </w:r>
      <w:r>
        <w:rPr>
          <w:rFonts w:cs="David" w:ascii="David" w:hAnsi="David"/>
          <w:b/>
          <w:bCs/>
          <w:rtl w:val="true"/>
        </w:rPr>
        <w:t xml:space="preserve">], </w:t>
      </w:r>
      <w:r>
        <w:rPr>
          <w:rFonts w:ascii="David" w:hAnsi="David"/>
          <w:b/>
          <w:b/>
          <w:bCs/>
          <w:rtl w:val="true"/>
        </w:rPr>
        <w:t>התשכ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ט–</w:t>
      </w:r>
      <w:r>
        <w:rPr>
          <w:rFonts w:cs="David" w:ascii="David" w:hAnsi="David"/>
          <w:b/>
          <w:bCs/>
        </w:rPr>
        <w:t>1969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סמכות שבשיקול דעת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הפעלתה תלויה בין היתר בהשלכות חילוט הרכוש ובהשתלבותו במערך הענישה הכולל שיושת על הנאשם</w:t>
      </w:r>
      <w:r>
        <w:rPr>
          <w:rFonts w:cs="David" w:ascii="David" w:hAnsi="David"/>
          <w:b/>
          <w:bCs/>
          <w:rtl w:val="true"/>
        </w:rPr>
        <w:t>...".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אמת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המידה למתן צו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חילוט היא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מהותה ועוצמתה של הזיקה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בין ביצוע העבירות לבין רכבו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ראה בהקשר זה </w:t>
      </w:r>
      <w:r>
        <w:rPr>
          <w:rFonts w:cs="David" w:ascii="David" w:hAnsi="David"/>
          <w:rtl w:val="true"/>
        </w:rPr>
        <w:t>-</w:t>
      </w:r>
      <w:hyperlink r:id="rId4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4148/92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מועד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:  "</w:t>
      </w:r>
      <w:r>
        <w:rPr>
          <w:rFonts w:ascii="David" w:hAnsi="David"/>
          <w:b/>
          <w:b/>
          <w:bCs/>
          <w:rtl w:val="true"/>
        </w:rPr>
        <w:t>אין צריך לומר כי בעבירות שבפנינו מן הראוי להחליט על חילוט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אמת המידה היא במהותה ובעוצמתה של הזיקה בין החפץ לבין העבירה ובחומרתה של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היינו במקרה כגון זה שבפנינו עולה השאלה באיזה מידה שימש הרכב באופן מהותי לביצוע העבירות שבוצעו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הנדון מתקיימת זיקה ישירה בין העבירה בה הנאשם הורשע לרכב</w:t>
      </w:r>
      <w:r>
        <w:rPr>
          <w:rFonts w:ascii="David" w:hAnsi="David"/>
          <w:rtl w:val="true"/>
        </w:rPr>
        <w:t xml:space="preserve"> מאחר והנשק הוחזק על ידי הנאשמים בתוך הרכב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8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לצורך </w:t>
      </w:r>
      <w:r>
        <w:rPr>
          <w:rFonts w:ascii="David" w:hAnsi="David"/>
          <w:rtl w:val="true"/>
        </w:rPr>
        <w:t>חילוט הרכב על המאשימה להוכיח כי הרכב מצוי בבעלותו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6234/03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זיתאווי</w:t>
      </w:r>
      <w:r>
        <w:rPr>
          <w:rFonts w:ascii="David" w:hAnsi="David"/>
          <w:rtl w:val="true"/>
        </w:rPr>
        <w:t xml:space="preserve"> סיכם 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לוי את תנאי החילוט הקבועים </w:t>
      </w:r>
      <w:hyperlink r:id="rId48">
        <w:r>
          <w:rPr>
            <w:rStyle w:val="Hyperlink"/>
            <w:rFonts w:ascii="David" w:hAnsi="David"/>
            <w:rtl w:val="true"/>
          </w:rPr>
          <w:t xml:space="preserve">בסעיפים </w:t>
        </w:r>
        <w:r>
          <w:rPr>
            <w:rStyle w:val="Hyperlink"/>
            <w:rFonts w:cs="David" w:ascii="David" w:hAnsi="David"/>
          </w:rPr>
          <w:t>32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49">
        <w:r>
          <w:rPr>
            <w:rStyle w:val="Hyperlink"/>
            <w:rFonts w:cs="David" w:ascii="David" w:hAnsi="David"/>
          </w:rPr>
          <w:t>34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לפקודה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39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לפקודה אשר נועד לפגוע בזכות קניינו של העבריין קובע כי דינו של החילוט כדין עונש שהוטל על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וככל הוראה עונשית יש להעניק לה פרשנות מצמצמת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הואיל והיא נועדה לפגוע במעורבים במעשה הפלילי עצמו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ולא באלה שאין להם זיקה אליו או שזיקתם רופפת </w:t>
      </w:r>
      <w:r>
        <w:rPr>
          <w:rFonts w:cs="David" w:ascii="David" w:hAnsi="David"/>
          <w:b/>
          <w:bCs/>
          <w:rtl w:val="true"/>
        </w:rPr>
        <w:t>(</w:t>
      </w:r>
      <w:hyperlink r:id="rId5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1982/93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בנק לאומי לישראל בע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 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מח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cs="David" w:ascii="David" w:hAnsi="David"/>
          <w:b/>
          <w:bCs/>
        </w:rPr>
        <w:t>238</w:t>
      </w:r>
      <w:r>
        <w:rPr>
          <w:rFonts w:cs="David" w:ascii="David" w:hAnsi="David"/>
          <w:b/>
          <w:bCs/>
          <w:rtl w:val="true"/>
        </w:rPr>
        <w:t>)"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80" w:after="280"/>
        <w:ind w:start="720" w:end="0"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אין חולק כי הנאשם אינו הבעלים הרשום של הרכב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אלא ש</w:t>
      </w:r>
      <w:r>
        <w:rPr>
          <w:rFonts w:ascii="David" w:hAnsi="David" w:eastAsia="David"/>
          <w:rtl w:val="true"/>
        </w:rPr>
        <w:t xml:space="preserve">אין בעובדה </w:t>
      </w:r>
      <w:r>
        <w:rPr>
          <w:rFonts w:ascii="David" w:hAnsi="David" w:eastAsia="David"/>
          <w:rtl w:val="true"/>
        </w:rPr>
        <w:t xml:space="preserve">זו </w:t>
      </w:r>
      <w:r>
        <w:rPr>
          <w:rFonts w:ascii="David" w:hAnsi="David" w:eastAsia="David"/>
          <w:rtl w:val="true"/>
        </w:rPr>
        <w:t>כדי לחסום את אפשרות חילוטו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עם זאת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יש להצביע על זיקה ברורה בין הרכב לנאשם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קרי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שהנאשם עשה שימוש תכוף ברכב או נהג בו מנהג בעלים וכד</w:t>
      </w:r>
      <w:r>
        <w:rPr>
          <w:rFonts w:eastAsia="David" w:cs="David" w:ascii="David" w:hAnsi="David"/>
          <w:rtl w:val="true"/>
        </w:rPr>
        <w:t>'.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</w:t>
      </w:r>
      <w:r>
        <w:rPr>
          <w:rFonts w:ascii="David" w:hAnsi="David"/>
          <w:color w:val="000000"/>
          <w:rtl w:val="true"/>
        </w:rPr>
        <w:t>ל המאשימה המבקשת את חילוטו של 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להוכיח את מידת הזיקה של הנאשם לרכב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ראו </w:t>
      </w:r>
      <w:hyperlink r:id="rId5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4148/92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חוסין מועד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).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Normal"/>
        <w:spacing w:lineRule="auto" w:line="360" w:before="280" w:after="28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הטענה </w:t>
      </w:r>
      <w:r>
        <w:rPr>
          <w:rFonts w:ascii="David" w:hAnsi="David"/>
          <w:rtl w:val="true"/>
        </w:rPr>
        <w:t xml:space="preserve">לפיה </w:t>
      </w:r>
      <w:r>
        <w:rPr>
          <w:rFonts w:ascii="David" w:hAnsi="David"/>
          <w:rtl w:val="true"/>
        </w:rPr>
        <w:t>הרכב נרכש על ידי אשתו של הנאשם טרם נישואיה לא נסתר</w:t>
      </w:r>
      <w:r>
        <w:rPr>
          <w:rFonts w:ascii="David" w:hAnsi="David"/>
          <w:rtl w:val="true"/>
        </w:rPr>
        <w:t xml:space="preserve">ה ואף הוגש אישור לפיו הרכב הוזמן על ידה כבר בשנת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Normal"/>
        <w:spacing w:lineRule="auto" w:line="360" w:before="280" w:after="28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 הרכב שישמש את התא המשפחתי ואת הנאשם עצמו כפי שעל גם מעדותה של 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נהג בו מנהג בעלים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שאין בעובדת רישום הרכב על שם אשתו והעובדה שנקנה טרם נישואיהם כדי לחסום את אפשרות חילוטו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80" w:after="28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80"/>
        <w:ind w:hanging="360" w:start="720" w:end="0"/>
        <w:contextualSpacing/>
        <w:jc w:val="both"/>
        <w:rPr>
          <w:rFonts w:ascii="David" w:hAnsi="David" w:cs="David"/>
          <w:sz w:val="16"/>
          <w:szCs w:val="16"/>
        </w:rPr>
      </w:pPr>
      <w:r>
        <w:rPr>
          <w:rFonts w:ascii="David" w:hAnsi="David"/>
          <w:rtl w:val="true"/>
        </w:rPr>
        <w:t>במכלול הנסיבות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ובפרט העובדה שהרכב נרכש על ידי אשת הנאשם לפני נישואיהם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שהיא לא ידעה על לקיחת הרכב בזמן שישנה וממילא לא הייתה מודעת למטרת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שהרכב תפוס במשטרה מזה תקופה לא מבוטלת במהלכה ירד ערכו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והעובדה שאשת הנאשם אף לא הייתה זכאית להטבות מביטוח לאומי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הבטחת הכנסה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מפאת עובדת בעלותה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כי חילוטו של הרכב ששוויו אינו מבוטל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יביא לפגיעה בלתי מידתית באשת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80" w:after="280"/>
        <w:ind w:end="0"/>
        <w:contextualSpacing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ListParagraph"/>
        <w:spacing w:lineRule="auto" w:line="360" w:before="280" w:after="28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להורות על חילוט הרכב והבקשה לחילוטו נדחית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end="0"/>
        <w:contextualSpacing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בכל הנוגע לגובה הקנס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סבור שיש להטיל קנס גבוה אשר ישקף את חומרת העבירה וסוג הנשק שהוחזק על ידי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ואת העובדה שנמנעתי מחילוט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חילוט שהיה בו כדי להביא לפגיעה כלכלית משמעותית בנאשם ובאשתו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254" w:before="0" w:after="160"/>
        <w:ind w:end="0"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Calibri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eastAsia="Calibri" w:cs="David" w:ascii="David" w:hAnsi="David"/>
          <w:b/>
          <w:bCs/>
        </w:rPr>
        <w:t>20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בניכוי ימי מעצרו מתאריך </w:t>
      </w:r>
      <w:r>
        <w:rPr>
          <w:rFonts w:eastAsia="Calibri" w:cs="David" w:ascii="David" w:hAnsi="David"/>
          <w:b/>
          <w:bCs/>
        </w:rPr>
        <w:t>02.10.22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ועד 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Calibri" w:cs="David" w:ascii="David" w:hAnsi="David"/>
          <w:b/>
          <w:bCs/>
        </w:rPr>
        <w:t>10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 עבירת נשק מסוג פשע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2"/>
          <w:szCs w:val="12"/>
        </w:rPr>
      </w:pPr>
      <w:r>
        <w:rPr>
          <w:rFonts w:eastAsia="Calibri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 עבירת נשק מסוג</w:t>
      </w:r>
      <w:r>
        <w:rPr>
          <w:rFonts w:ascii="David" w:hAnsi="David" w:eastAsia="Calibri"/>
          <w:b/>
          <w:b/>
          <w:bCs/>
          <w:rtl w:val="true"/>
        </w:rPr>
        <w:t xml:space="preserve"> עוון </w:t>
      </w:r>
      <w:r>
        <w:rPr>
          <w:rFonts w:ascii="David" w:hAnsi="David" w:eastAsia="Calibri"/>
          <w:b/>
          <w:b/>
          <w:bCs/>
          <w:rtl w:val="true"/>
        </w:rPr>
        <w:t xml:space="preserve">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8"/>
          <w:szCs w:val="8"/>
        </w:rPr>
      </w:pPr>
      <w:r>
        <w:rPr>
          <w:rFonts w:eastAsia="Calibri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napToGrid w:val="false"/>
        <w:spacing w:lineRule="auto" w:line="360" w:before="0" w:after="160"/>
        <w:ind w:end="0"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     </w:t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קנס בסך </w:t>
      </w:r>
      <w:r>
        <w:rPr>
          <w:rFonts w:eastAsia="Calibri" w:cs="David" w:ascii="David" w:hAnsi="David"/>
          <w:b/>
          <w:bCs/>
        </w:rPr>
        <w:t>30,000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  <w:rtl w:val="true"/>
        </w:rPr>
        <w:t xml:space="preserve">₪  </w:t>
      </w:r>
      <w:r>
        <w:rPr>
          <w:rFonts w:ascii="David" w:hAnsi="David" w:eastAsia="Calibri"/>
          <w:b/>
          <w:b/>
          <w:bCs/>
          <w:rtl w:val="true"/>
        </w:rPr>
        <w:t xml:space="preserve">או </w:t>
      </w:r>
      <w:r>
        <w:rPr>
          <w:rFonts w:eastAsia="Calibri" w:cs="David" w:ascii="David" w:hAnsi="David"/>
          <w:b/>
          <w:bCs/>
        </w:rPr>
        <w:t>180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ימי מאסר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Calibri"/>
          <w:b/>
          <w:b/>
          <w:bCs/>
          <w:rtl w:val="true"/>
        </w:rPr>
        <w:t>הקנס שהוטל על הנאשם</w:t>
      </w:r>
      <w:r>
        <w:rPr>
          <w:rFonts w:ascii="David" w:hAnsi="David" w:eastAsia="Calibri"/>
          <w:b/>
          <w:b/>
          <w:bCs/>
          <w:rtl w:val="true"/>
        </w:rPr>
        <w:t xml:space="preserve">  ישולם עד ליום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01.01.2024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תשומת לב הנאשם שיש לשלם את הקנס לחשבון המרכז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 ברשות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 מחלוף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 מיום מתן גזר הדין וזאת באחת מהדרכים הבאות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07" w:end="0"/>
        <w:jc w:val="both"/>
        <w:rPr/>
      </w:pPr>
      <w:r>
        <w:rPr>
          <w:rFonts w:ascii="David" w:hAnsi="David" w:eastAsia="Calibri"/>
          <w:rtl w:val="true"/>
        </w:rPr>
        <w:t>בכרטיס אשראי – באתר המקוון של 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hyperlink r:id="rId52">
        <w:r>
          <w:rPr>
            <w:rStyle w:val="Hyperlink"/>
            <w:rFonts w:eastAsia="Calibri" w:cs="David" w:ascii="David" w:hAnsi="David"/>
            <w:color w:val="0563C1"/>
            <w:u w:val="single"/>
          </w:rPr>
          <w:t>www.eca.gov.il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חפש בגוגל 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תשלום גביית קנסות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 w:eastAsia="Calibri"/>
          <w:rtl w:val="true"/>
        </w:rPr>
        <w:t xml:space="preserve">מוקד שירות טלפוני בשרות עצמי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מרכז גבייה</w:t>
      </w:r>
      <w:r>
        <w:rPr>
          <w:rFonts w:eastAsia="Calibri" w:cs="David" w:ascii="David" w:hAnsi="David"/>
          <w:rtl w:val="true"/>
        </w:rPr>
        <w:t xml:space="preserve">)  – </w:t>
      </w:r>
      <w:r>
        <w:rPr>
          <w:rFonts w:ascii="David" w:hAnsi="David" w:eastAsia="Calibri"/>
          <w:rtl w:val="true"/>
        </w:rPr>
        <w:t xml:space="preserve">בטלפון </w:t>
      </w:r>
      <w:r>
        <w:rPr>
          <w:rFonts w:eastAsia="Calibri" w:cs="David" w:ascii="David" w:hAnsi="David"/>
        </w:rPr>
        <w:t>35592</w:t>
      </w:r>
      <w:r>
        <w:rPr>
          <w:rFonts w:eastAsia="Calibri" w:cs="David" w:ascii="David" w:hAnsi="David"/>
          <w:rtl w:val="true"/>
        </w:rPr>
        <w:t xml:space="preserve">* </w:t>
      </w:r>
      <w:r>
        <w:rPr>
          <w:rFonts w:ascii="David" w:hAnsi="David" w:eastAsia="Calibri"/>
          <w:rtl w:val="true"/>
        </w:rPr>
        <w:t xml:space="preserve">או בטלפון </w:t>
      </w:r>
      <w:r>
        <w:rPr>
          <w:rFonts w:eastAsia="Calibri" w:cs="David" w:ascii="David" w:hAnsi="David"/>
        </w:rPr>
        <w:t>073-2055000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ניתן לפנות לנציגים לקבלת מידע במספרים הללו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במזומן בכל סניף של בנק הדואר – בהצגת תעודת זהות בלבד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אין צורך בשוברי תשלום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254" w:before="0" w:after="160"/>
        <w:ind w:end="0"/>
        <w:jc w:val="both"/>
        <w:rPr/>
      </w:pPr>
      <w:r>
        <w:rPr>
          <w:rFonts w:eastAsia="Calibri"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 w:eastAsia="Calibri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Calibri" w:cs="David" w:ascii="David" w:hAnsi="David"/>
          <w:b/>
          <w:bCs/>
        </w:rPr>
        <w:t>45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יום מהיום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17573-10-22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סולטאן זועבי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.if" TargetMode="External"/><Relationship Id="rId5" Type="http://schemas.openxmlformats.org/officeDocument/2006/relationships/hyperlink" Target="http://www.nevo.co.il/law/70301/40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fCa(1)S29" TargetMode="External"/><Relationship Id="rId8" Type="http://schemas.openxmlformats.org/officeDocument/2006/relationships/hyperlink" Target="http://www.nevo.co.il/law/74918" TargetMode="External"/><Relationship Id="rId9" Type="http://schemas.openxmlformats.org/officeDocument/2006/relationships/hyperlink" Target="http://www.nevo.co.il/law/74918/32" TargetMode="External"/><Relationship Id="rId10" Type="http://schemas.openxmlformats.org/officeDocument/2006/relationships/hyperlink" Target="http://www.nevo.co.il/law/74918/34.a" TargetMode="External"/><Relationship Id="rId11" Type="http://schemas.openxmlformats.org/officeDocument/2006/relationships/hyperlink" Target="http://www.nevo.co.il/law/74918/39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fCa(1)S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a" TargetMode="External"/><Relationship Id="rId20" Type="http://schemas.openxmlformats.org/officeDocument/2006/relationships/hyperlink" Target="http://www.nevo.co.il/law/70301/40.if" TargetMode="External"/><Relationship Id="rId21" Type="http://schemas.openxmlformats.org/officeDocument/2006/relationships/hyperlink" Target="http://www.nevo.co.il/law/70301/40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7894608" TargetMode="External"/><Relationship Id="rId24" Type="http://schemas.openxmlformats.org/officeDocument/2006/relationships/hyperlink" Target="http://www.nevo.co.il/case/28152132" TargetMode="External"/><Relationship Id="rId25" Type="http://schemas.openxmlformats.org/officeDocument/2006/relationships/hyperlink" Target="http://www.nevo.co.il/case/27115374" TargetMode="External"/><Relationship Id="rId26" Type="http://schemas.openxmlformats.org/officeDocument/2006/relationships/hyperlink" Target="http://www.nevo.co.il/case/27907602" TargetMode="External"/><Relationship Id="rId27" Type="http://schemas.openxmlformats.org/officeDocument/2006/relationships/hyperlink" Target="http://www.nevo.co.il/case/27207408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5601503" TargetMode="External"/><Relationship Id="rId30" Type="http://schemas.openxmlformats.org/officeDocument/2006/relationships/hyperlink" Target="http://www.nevo.co.il/case/6034921" TargetMode="External"/><Relationship Id="rId31" Type="http://schemas.openxmlformats.org/officeDocument/2006/relationships/hyperlink" Target="http://www.nevo.co.il/case/26913995" TargetMode="External"/><Relationship Id="rId32" Type="http://schemas.openxmlformats.org/officeDocument/2006/relationships/hyperlink" Target="http://www.nevo.co.il/case/25824863" TargetMode="External"/><Relationship Id="rId33" Type="http://schemas.openxmlformats.org/officeDocument/2006/relationships/hyperlink" Target="http://www.nevo.co.il/case/25063920" TargetMode="External"/><Relationship Id="rId34" Type="http://schemas.openxmlformats.org/officeDocument/2006/relationships/hyperlink" Target="http://www.nevo.co.il/case/5762686" TargetMode="External"/><Relationship Id="rId35" Type="http://schemas.openxmlformats.org/officeDocument/2006/relationships/hyperlink" Target="http://www.nevo.co.il/case/28513828" TargetMode="External"/><Relationship Id="rId36" Type="http://schemas.openxmlformats.org/officeDocument/2006/relationships/hyperlink" Target="http://www.nevo.co.il/case/28619472" TargetMode="External"/><Relationship Id="rId37" Type="http://schemas.openxmlformats.org/officeDocument/2006/relationships/hyperlink" Target="http://www.nevo.co.il/case/28152132" TargetMode="External"/><Relationship Id="rId38" Type="http://schemas.openxmlformats.org/officeDocument/2006/relationships/hyperlink" Target="http://www.nevo.co.il/case/27502726" TargetMode="External"/><Relationship Id="rId39" Type="http://schemas.openxmlformats.org/officeDocument/2006/relationships/hyperlink" Target="http://www.nevo.co.il/case/25923515" TargetMode="External"/><Relationship Id="rId40" Type="http://schemas.openxmlformats.org/officeDocument/2006/relationships/hyperlink" Target="http://www.nevo.co.il/case/22607175" TargetMode="External"/><Relationship Id="rId41" Type="http://schemas.openxmlformats.org/officeDocument/2006/relationships/hyperlink" Target="http://www.nevo.co.il/case/28684447" TargetMode="External"/><Relationship Id="rId42" Type="http://schemas.openxmlformats.org/officeDocument/2006/relationships/hyperlink" Target="http://www.nevo.co.il/law/74918/39" TargetMode="External"/><Relationship Id="rId43" Type="http://schemas.openxmlformats.org/officeDocument/2006/relationships/hyperlink" Target="http://www.nevo.co.il/law/74918" TargetMode="External"/><Relationship Id="rId44" Type="http://schemas.openxmlformats.org/officeDocument/2006/relationships/hyperlink" Target="http://www.nevo.co.il/case/27272576" TargetMode="External"/><Relationship Id="rId45" Type="http://schemas.openxmlformats.org/officeDocument/2006/relationships/hyperlink" Target="http://www.nevo.co.il/law/74918" TargetMode="External"/><Relationship Id="rId46" Type="http://schemas.openxmlformats.org/officeDocument/2006/relationships/hyperlink" Target="http://www.nevo.co.il/case/17922225" TargetMode="External"/><Relationship Id="rId47" Type="http://schemas.openxmlformats.org/officeDocument/2006/relationships/hyperlink" Target="http://www.nevo.co.il/case/6055128" TargetMode="External"/><Relationship Id="rId48" Type="http://schemas.openxmlformats.org/officeDocument/2006/relationships/hyperlink" Target="http://www.nevo.co.il/law/74918/32" TargetMode="External"/><Relationship Id="rId49" Type="http://schemas.openxmlformats.org/officeDocument/2006/relationships/hyperlink" Target="http://www.nevo.co.il/law/74918/34.a" TargetMode="External"/><Relationship Id="rId50" Type="http://schemas.openxmlformats.org/officeDocument/2006/relationships/hyperlink" Target="http://www.nevo.co.il/case/17914099" TargetMode="External"/><Relationship Id="rId51" Type="http://schemas.openxmlformats.org/officeDocument/2006/relationships/hyperlink" Target="http://www.nevo.co.il/case/17922225" TargetMode="External"/><Relationship Id="rId52" Type="http://schemas.openxmlformats.org/officeDocument/2006/relationships/hyperlink" Target="http://www.eca.gov.il/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2024-08-26T14:12:00Z</dcterms:created>
  <dc:creator> </dc:creator>
  <dc:description/>
  <cp:keywords/>
  <dc:language>en-IL</dc:language>
  <cp:lastModifiedBy>h1</cp:lastModifiedBy>
  <dcterms:modified xsi:type="dcterms:W3CDTF">2024-08-26T14:12:00Z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סולטאן זועבי;עימאד זועבי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27894608;28152132:2;27115374;27907602;27207408;5601503;6034921;26913995;25824863;25063920;5762686;28513828;28619472;27502726;25923515;22607175;28684447;27272576;17922225:2;6055128;17914099</vt:lpwstr>
  </property>
  <property fmtid="{D5CDD505-2E9C-101B-9397-08002B2CF9AE}" pid="9" name="CITY">
    <vt:lpwstr>חי'</vt:lpwstr>
  </property>
  <property fmtid="{D5CDD505-2E9C-101B-9397-08002B2CF9AE}" pid="10" name="DATE">
    <vt:lpwstr>20230710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גיל קרזבום</vt:lpwstr>
  </property>
  <property fmtid="{D5CDD505-2E9C-101B-9397-08002B2CF9AE}" pid="14" name="LAWLISTTMP1">
    <vt:lpwstr>70301/144.a;029;fCa(1)S29;040a:2;040.if</vt:lpwstr>
  </property>
  <property fmtid="{D5CDD505-2E9C-101B-9397-08002B2CF9AE}" pid="15" name="LAWLISTTMP2">
    <vt:lpwstr>74918/039;032;034.a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17573</vt:lpwstr>
  </property>
  <property fmtid="{D5CDD505-2E9C-101B-9397-08002B2CF9AE}" pid="23" name="NEWPARTB">
    <vt:lpwstr>10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390020230710</vt:lpwstr>
  </property>
  <property fmtid="{D5CDD505-2E9C-101B-9397-08002B2CF9AE}" pid="35" name="TYPE_N_DATE">
    <vt:lpwstr>39020230710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