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17655-10-22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חווא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 xml:space="preserve"> </w:t>
      </w:r>
    </w:p>
    <w:tbl>
      <w:tblPr>
        <w:bidiVisual w:val="true"/>
        <w:tblW w:w="8499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521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4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57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49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57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חווא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12"/>
        <w:ind w:end="0"/>
        <w:jc w:val="start"/>
        <w:rPr>
          <w:rFonts w:ascii="David" w:hAnsi="David" w:cs="David"/>
          <w:sz w:val="6"/>
          <w:szCs w:val="6"/>
          <w:u w:val="none"/>
        </w:rPr>
      </w:pPr>
      <w:r>
        <w:rPr>
          <w:rFonts w:cs="David" w:ascii="David" w:hAnsi="David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אריאל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פרקליטות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מחוז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חיפה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אלביר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מני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ב</w:t>
        </w:r>
      </w:hyperlink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12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sz w:val="28"/>
          <w:szCs w:val="28"/>
        </w:rPr>
      </w:pPr>
      <w:bookmarkStart w:id="8" w:name="PsakDin"/>
      <w:bookmarkEnd w:id="8"/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</w:p>
    <w:p>
      <w:pPr>
        <w:pStyle w:val="12"/>
        <w:ind w:end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9" w:name="PsakDin"/>
      <w:bookmarkStart w:id="10" w:name="PsakDin"/>
      <w:bookmarkEnd w:id="10"/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מתוקן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החזקה </w:t>
      </w:r>
      <w:r>
        <w:rPr>
          <w:rFonts w:ascii="Arial" w:hAnsi="Arial" w:cs="Arial"/>
          <w:rtl w:val="true"/>
        </w:rPr>
        <w:t>ונשיאה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5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(</w:t>
      </w:r>
      <w:hyperlink r:id="rId6">
        <w:r>
          <w:rPr>
            <w:rStyle w:val="Hyperlink"/>
            <w:rFonts w:ascii="Arial" w:hAnsi="Arial" w:cs="Arial"/>
            <w:rtl w:val="true"/>
          </w:rPr>
          <w:t>ב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וסיפא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</w:t>
      </w:r>
      <w:r>
        <w:rPr>
          <w:rFonts w:ascii="Arial" w:hAnsi="Arial" w:cs="Arial"/>
          <w:b/>
          <w:b/>
          <w:bCs/>
          <w:rtl w:val="true"/>
        </w:rPr>
        <w:t xml:space="preserve"> העונשין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עובדות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כשנה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לתאריך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3.10.22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אקדח טעון ומחסנית </w:t>
      </w:r>
      <w:r>
        <w:rPr>
          <w:rFonts w:ascii="Arial" w:hAnsi="Arial" w:cs="Arial"/>
          <w:rtl w:val="true"/>
        </w:rPr>
        <w:t>תואמת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ובתוכה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בתאריך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3.10.22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שעה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13:40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יצא הנאשם מביתו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ארלוזורוב בחיפה כשהוא מחזיק ונושא </w:t>
      </w:r>
      <w:r>
        <w:rPr>
          <w:rFonts w:ascii="Arial" w:hAnsi="Arial" w:cs="Arial"/>
          <w:rtl w:val="true"/>
        </w:rPr>
        <w:t>האקדח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מוסתר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בבגדיו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כשהוא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הלך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אשתו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לכיוון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רכבו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ברחוב</w:t>
      </w:r>
      <w:r>
        <w:rPr>
          <w:rFonts w:cs="Arial" w:ascii="Arial" w:hAnsi="Arial"/>
          <w:rtl w:val="true"/>
        </w:rPr>
        <w:t xml:space="preserve">. </w:t>
      </w:r>
      <w:bookmarkStart w:id="12" w:name="ABSTRACT_END"/>
      <w:bookmarkEnd w:id="12"/>
      <w:r>
        <w:rPr>
          <w:rFonts w:ascii="Arial" w:hAnsi="Arial" w:cs="Arial"/>
          <w:rtl w:val="true"/>
        </w:rPr>
        <w:t>שוטרים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בתצפית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יזומה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הבחינו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הבחין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זיהה אותם כשוטרים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והחל לברוח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צעקו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עצור </w:t>
      </w:r>
      <w:r>
        <w:rPr>
          <w:rFonts w:ascii="Arial" w:hAnsi="Arial" w:cs="Arial"/>
          <w:rtl w:val="true"/>
        </w:rPr>
        <w:t>משטרה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נענה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הימלטותו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הוציא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האקדח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והחזיקו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זמן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קצר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השוטרים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השיגו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ודרך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אותו לעבר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ודרש ממנו לזרוק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 זרק הנאשם את האקדח לרצפה ומיד לאחר מכן נעצר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תואר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>חובת ה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קודמות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בשורה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</w:t>
      </w:r>
      <w:r>
        <w:rPr>
          <w:rFonts w:ascii="Arial" w:hAnsi="Arial" w:cs="Arial"/>
          <w:rtl w:val="true"/>
        </w:rPr>
        <w:t>יהן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תקיפה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הגורמת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חבלה</w:t>
      </w:r>
      <w:r>
        <w:rPr>
          <w:rFonts w:ascii="Arial" w:hAnsi="Arial" w:cs="Arial"/>
          <w:rtl w:val="true"/>
        </w:rPr>
        <w:t xml:space="preserve">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אגרופן או סכין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כשהעבריין מזוין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הפרעה לשוטר במילוי תפקידו </w:t>
      </w:r>
      <w:r>
        <w:rPr>
          <w:rFonts w:ascii="Arial" w:hAnsi="Arial" w:cs="Arial"/>
          <w:rtl w:val="true"/>
        </w:rPr>
        <w:t>והעלבת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עובד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תוארה </w:t>
      </w:r>
      <w:r>
        <w:rPr>
          <w:rFonts w:ascii="Arial" w:hAnsi="Arial" w:cs="Arial"/>
          <w:rtl w:val="true"/>
        </w:rPr>
        <w:t>הרשעתו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האחרונה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משנת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תקיפה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הגורמת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</w:t>
      </w:r>
      <w:r>
        <w:rPr>
          <w:rFonts w:ascii="Arial" w:hAnsi="Arial" w:cs="Arial"/>
          <w:rtl w:val="true"/>
        </w:rPr>
        <w:t xml:space="preserve"> נידון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ריצה הנאשם תקופ</w:t>
      </w:r>
      <w:r>
        <w:rPr>
          <w:rFonts w:ascii="Arial" w:hAnsi="Arial" w:cs="Arial"/>
          <w:rtl w:val="true"/>
        </w:rPr>
        <w:t>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מצטברות</w:t>
      </w:r>
      <w:r>
        <w:rPr>
          <w:rFonts w:ascii="Arial" w:hAnsi="Arial" w:cs="Arial"/>
          <w:rtl w:val="true"/>
        </w:rPr>
        <w:t xml:space="preserve"> של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צוין כי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3.10.22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שוהה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במעצר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מאז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שקיימת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יתרה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הקשור</w:t>
      </w:r>
      <w:r>
        <w:rPr>
          <w:rFonts w:ascii="Arial" w:hAnsi="Arial" w:cs="Arial"/>
          <w:rtl w:val="true"/>
        </w:rPr>
        <w:t xml:space="preserve"> לתופעת הנשק הבלתי חוקי אשר מאפשרת ביצוע עבירות פליליות 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</w:t>
      </w:r>
      <w:r>
        <w:rPr>
          <w:rFonts w:ascii="Arial" w:hAnsi="Arial" w:cs="Arial"/>
          <w:rtl w:val="true"/>
        </w:rPr>
        <w:t>האיסורים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שבחוק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נועדו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להגן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הציבור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חיי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אדם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ובהקשר זה הפנתה המאשימה לאמור ב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סלימאן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כי </w:t>
      </w:r>
      <w:r>
        <w:rPr>
          <w:rFonts w:ascii="Arial" w:hAnsi="Arial" w:cs="Arial"/>
          <w:rtl w:val="true"/>
        </w:rPr>
        <w:t>מפאת</w:t>
      </w:r>
      <w:r>
        <w:rPr>
          <w:rFonts w:ascii="Arial" w:hAnsi="Arial" w:cs="Arial"/>
          <w:rtl w:val="true"/>
        </w:rPr>
        <w:t xml:space="preserve"> פוטנציאל הנזק והסיכון </w:t>
      </w:r>
      <w:r>
        <w:rPr>
          <w:rFonts w:ascii="Arial" w:hAnsi="Arial" w:cs="Arial"/>
          <w:rtl w:val="true"/>
        </w:rPr>
        <w:t>הרב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הגלום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ייחסה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חומרה</w:t>
      </w:r>
      <w:r>
        <w:rPr>
          <w:rFonts w:ascii="Arial" w:hAnsi="Arial" w:cs="Arial"/>
          <w:rtl w:val="true"/>
        </w:rPr>
        <w:t xml:space="preserve"> מיוחדת לעבירות הנשק </w:t>
      </w:r>
      <w:r>
        <w:rPr>
          <w:rFonts w:ascii="Arial" w:hAnsi="Arial" w:cs="Arial"/>
          <w:rtl w:val="true"/>
        </w:rPr>
        <w:t>כפי שצוין 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4460/11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אחמד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פאיד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28.11.11</w:t>
      </w:r>
      <w:r>
        <w:rPr>
          <w:rFonts w:cs="Arial" w:ascii="Arial" w:hAnsi="Arial"/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אלולאיא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הוסיפה והזכיר</w:t>
      </w:r>
      <w:r>
        <w:rPr>
          <w:rFonts w:ascii="Arial" w:hAnsi="Arial" w:cs="Arial"/>
          <w:rtl w:val="true"/>
        </w:rPr>
        <w:t xml:space="preserve"> שלגבי עבירות הנשק נקבע עונש מזערי </w:t>
      </w:r>
      <w:r>
        <w:rPr>
          <w:rFonts w:ascii="Arial" w:hAnsi="Arial" w:cs="Arial"/>
          <w:rtl w:val="true"/>
        </w:rPr>
        <w:t>חובה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בהתאם</w:t>
      </w:r>
      <w:r>
        <w:rPr>
          <w:rFonts w:ascii="Arial" w:hAnsi="Arial" w:cs="Arial"/>
          <w:rtl w:val="true"/>
        </w:rPr>
        <w:t xml:space="preserve">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הנחיית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פרקליט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ומתחמי העונש השונים המפורטים בה בעבירות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למקרה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לגבי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רכיב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התכנון</w:t>
      </w:r>
      <w:r>
        <w:rPr>
          <w:rFonts w:ascii="Arial" w:hAnsi="Arial" w:cs="Arial"/>
          <w:rtl w:val="true"/>
        </w:rPr>
        <w:t xml:space="preserve"> את אורך הזמן של החזקת הנשק הטעון על ידי הנאשם ו</w:t>
      </w:r>
      <w:r>
        <w:rPr>
          <w:rFonts w:ascii="Arial" w:hAnsi="Arial" w:cs="Arial"/>
          <w:rtl w:val="true"/>
        </w:rPr>
        <w:t>כן</w:t>
      </w:r>
      <w:r>
        <w:rPr>
          <w:rFonts w:ascii="Arial" w:hAnsi="Arial" w:cs="Arial"/>
          <w:rtl w:val="true"/>
        </w:rPr>
        <w:t xml:space="preserve"> ניסיונו להימלט מהשוטרים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עוד שחלקו של הנאשם </w:t>
      </w:r>
      <w:r>
        <w:rPr>
          <w:rFonts w:ascii="Arial" w:hAnsi="Arial" w:cs="Arial"/>
          <w:rtl w:val="true"/>
        </w:rPr>
        <w:t xml:space="preserve">בביצוע העבירה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נעשה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שימוש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צפוי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להיגרם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משמעותי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משימוש</w:t>
      </w:r>
      <w:r>
        <w:rPr>
          <w:rFonts w:ascii="Arial" w:hAnsi="Arial" w:cs="Arial"/>
          <w:rtl w:val="true"/>
        </w:rPr>
        <w:t xml:space="preserve"> בו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</w:t>
      </w:r>
      <w:r>
        <w:rPr>
          <w:rtl w:val="true"/>
        </w:rPr>
        <w:t>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41855-07-16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חמודא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עמר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26.4.18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שם הור</w:t>
      </w:r>
      <w:r>
        <w:rPr>
          <w:rFonts w:ascii="Arial" w:hAnsi="Arial" w:cs="Arial"/>
          <w:rtl w:val="true"/>
        </w:rPr>
        <w:t>שע</w:t>
      </w:r>
      <w:r>
        <w:rPr>
          <w:rFonts w:ascii="Arial" w:hAnsi="Arial" w:cs="Arial"/>
          <w:rtl w:val="true"/>
        </w:rPr>
        <w:t xml:space="preserve"> נאשם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פי הודאתו במסגרת הסדר טיעון בעבירות של נשיאת </w:t>
      </w:r>
      <w:r>
        <w:rPr>
          <w:rFonts w:ascii="Arial" w:hAnsi="Arial" w:cs="Arial"/>
          <w:rtl w:val="true"/>
        </w:rPr>
        <w:t>והובלת 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ותחמושת</w:t>
      </w:r>
      <w:r>
        <w:rPr>
          <w:rFonts w:ascii="Arial" w:hAnsi="Arial" w:cs="Arial"/>
          <w:rtl w:val="true"/>
        </w:rPr>
        <w:t xml:space="preserve"> ונהיגה בקלות ראש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נשא והוביל ברכבו </w:t>
      </w:r>
      <w:r>
        <w:rPr>
          <w:rFonts w:ascii="Arial" w:hAnsi="Arial" w:cs="Arial"/>
          <w:rtl w:val="true"/>
        </w:rPr>
        <w:t xml:space="preserve">נשק מאולתר מסוג קרל גוסטב טעון במחסנית </w:t>
      </w:r>
      <w:r>
        <w:rPr>
          <w:rFonts w:ascii="Arial" w:hAnsi="Arial" w:cs="Arial"/>
          <w:rtl w:val="true"/>
        </w:rPr>
        <w:t>ובתוכה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עברה</w:t>
      </w:r>
      <w:r>
        <w:rPr>
          <w:rFonts w:ascii="Arial" w:hAnsi="Arial" w:cs="Arial"/>
          <w:rtl w:val="true"/>
        </w:rPr>
        <w:t xml:space="preserve"> כדורים </w:t>
      </w:r>
      <w:r>
        <w:rPr>
          <w:rFonts w:ascii="Arial" w:hAnsi="Arial" w:cs="Arial"/>
          <w:rtl w:val="true"/>
        </w:rPr>
        <w:t>תואמים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נוהג ברכב במהירות וללא זהירות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ועל 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נגזרו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המשפט העליון התערב בעונש והפחית אותו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לאחר שנוכח כי שקיים סיכוי לשיקומו של הנאשם לנוכח תסקירי המבחן שהוגשו </w:t>
      </w:r>
      <w:r>
        <w:rPr>
          <w:rFonts w:cs="Arial" w:ascii="Arial" w:hAnsi="Arial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4345/18</w:t>
        </w:r>
      </w:hyperlink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11362-10-15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נסיך </w:t>
      </w:r>
      <w:r>
        <w:rPr>
          <w:rFonts w:ascii="Arial" w:hAnsi="Arial" w:cs="Arial"/>
          <w:b/>
          <w:b/>
          <w:bCs/>
          <w:rtl w:val="true"/>
        </w:rPr>
        <w:t>זרתוסטרא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26.6.16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הנאשם הורשע בביצוע עבירה של נשיאת נשק ותחמושת כאשר נשא על גופו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ובתוכו מחסנית עם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מעצרו נמלט משוטרים בריצה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12-36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ונגזרו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ערעורו </w:t>
      </w:r>
      <w:r>
        <w:rPr>
          <w:rFonts w:ascii="Arial" w:hAnsi="Arial" w:cs="Arial"/>
          <w:rtl w:val="true"/>
        </w:rPr>
        <w:t>נמחק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6688/16</w:t>
        </w:r>
      </w:hyperlink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התקבל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גזר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די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בו נידון נאשם </w:t>
      </w:r>
      <w:r>
        <w:rPr>
          <w:rFonts w:ascii="Arial" w:hAnsi="Arial" w:cs="Arial"/>
          <w:rtl w:val="true"/>
        </w:rPr>
        <w:t>בגין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החזקת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חצי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וכדורים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הפרעה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ושהייה בלתי חוקית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בערעור הוחמר העונש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כאשר צוין שהמתחם הראוי עומד בין </w:t>
      </w:r>
      <w:r>
        <w:rPr>
          <w:rFonts w:cs="Arial" w:ascii="Arial" w:hAnsi="Arial"/>
        </w:rPr>
        <w:t>30-42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579/21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אעמר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03.11.21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שם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נאשם בעבירות של 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הובלת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אביזרים לנשק ותחמושת והחזקת סם מסוכן שלא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שנתיים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לארבע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נידון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לשלוש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התערב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העליון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מטעמי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הענישה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והעמידו על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הוזכר שהנאשם הודה בעובדות כתב האישום המתוקן טרם שמיעת הראיות וחסך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עברו הפלילי המכביד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שככל</w:t>
      </w:r>
      <w:r>
        <w:rPr>
          <w:rFonts w:ascii="Arial" w:hAnsi="Arial" w:cs="Arial"/>
          <w:rtl w:val="true"/>
        </w:rPr>
        <w:t xml:space="preserve"> שתטען ההגנה שהנאשם היה מאוים ונשא את הנשק לצורך הגנתו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בעובדות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חורגות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יתר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מכך </w:t>
      </w:r>
      <w:r>
        <w:rPr>
          <w:rFonts w:ascii="Arial" w:hAnsi="Arial" w:cs="Arial"/>
          <w:rtl w:val="true"/>
        </w:rPr>
        <w:t xml:space="preserve"> נטען שמדובר למעשה בנסיבה לחומרה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</w:t>
      </w:r>
      <w:r>
        <w:rPr>
          <w:rFonts w:ascii="Arial" w:hAnsi="Arial" w:cs="Arial"/>
          <w:rtl w:val="true"/>
        </w:rPr>
        <w:t xml:space="preserve"> של עניין ביקשה המדינה לקבוע מתחם ענישה שבין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בשים לב להחזקה </w:t>
      </w:r>
      <w:r>
        <w:rPr>
          <w:rFonts w:ascii="Arial" w:hAnsi="Arial" w:cs="Arial"/>
          <w:rtl w:val="true"/>
        </w:rPr>
        <w:t xml:space="preserve">במשך </w:t>
      </w:r>
      <w:r>
        <w:rPr>
          <w:rFonts w:ascii="Arial" w:hAnsi="Arial" w:cs="Arial"/>
          <w:rtl w:val="true"/>
        </w:rPr>
        <w:t>זמן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ארוך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למקם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במרכז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ולהשית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נלווים</w:t>
      </w:r>
      <w:r>
        <w:rPr>
          <w:rFonts w:ascii="Arial" w:hAnsi="Arial" w:cs="Arial"/>
          <w:rtl w:val="true"/>
        </w:rPr>
        <w:t xml:space="preserve"> בדמות מאז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</w:t>
      </w:r>
      <w:r>
        <w:rPr>
          <w:rFonts w:ascii="Arial" w:hAnsi="Arial" w:cs="Arial"/>
          <w:rtl w:val="true"/>
        </w:rPr>
        <w:t xml:space="preserve"> לא חלקה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כך </w:t>
      </w:r>
      <w:r>
        <w:rPr>
          <w:rFonts w:ascii="Arial" w:hAnsi="Arial" w:cs="Arial"/>
          <w:rtl w:val="true"/>
        </w:rPr>
        <w:t>שנפגע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החברתי</w:t>
      </w:r>
      <w:r>
        <w:rPr>
          <w:rFonts w:ascii="Arial" w:hAnsi="Arial" w:cs="Arial"/>
          <w:rtl w:val="true"/>
        </w:rPr>
        <w:t xml:space="preserve"> של הגנה על ביטחון ושלום הציבור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אך </w:t>
      </w:r>
      <w:r>
        <w:rPr>
          <w:rFonts w:ascii="Arial" w:hAnsi="Arial" w:cs="Arial"/>
          <w:rtl w:val="true"/>
        </w:rPr>
        <w:t>יחד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שמידת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הפגיעה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נמצאת</w:t>
      </w:r>
      <w:r>
        <w:rPr>
          <w:rFonts w:ascii="Arial" w:hAnsi="Arial" w:cs="Arial"/>
          <w:rtl w:val="true"/>
        </w:rPr>
        <w:t xml:space="preserve"> ברף הנמוך ביותר יחסית לעבירות מסוג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שמדובר באירוע בודד וכן </w:t>
      </w:r>
      <w:r>
        <w:rPr>
          <w:rFonts w:ascii="Arial" w:hAnsi="Arial" w:cs="Arial"/>
          <w:rtl w:val="true"/>
        </w:rPr>
        <w:t>הוזכר</w:t>
      </w:r>
      <w:r>
        <w:rPr>
          <w:rFonts w:ascii="Arial" w:hAnsi="Arial" w:cs="Arial"/>
          <w:rtl w:val="true"/>
        </w:rPr>
        <w:t xml:space="preserve"> שמדובר באקדח מסוג הזנקה שהוסב כאשר בקנה ובית הבליעה היו פיסות נייר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נבדק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שנמצא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אלא שהמומחה מטעם המעבדה הסיר את פיסות הנייר טרם ביצוע הבדיקה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ראוי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שהאקדח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ייבדק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במצב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לבדוק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בכוחו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שבהתאם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לחומר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החקירה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מאוים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והייתה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לפגוע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בו</w:t>
      </w:r>
      <w:r>
        <w:rPr>
          <w:rFonts w:ascii="Arial" w:hAnsi="Arial" w:cs="Arial"/>
          <w:rtl w:val="true"/>
        </w:rPr>
        <w:t xml:space="preserve"> ואף בוצע סיכול מודיעיני בתאריך </w:t>
      </w:r>
      <w:r>
        <w:rPr>
          <w:rFonts w:cs="Arial" w:ascii="Arial" w:hAnsi="Arial"/>
        </w:rPr>
        <w:t>11/20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ידי המשטרה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הוזכרה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הנחיית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פרקליט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9.1.6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להוות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נסיבה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לקולא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)) </w:t>
      </w:r>
      <w:r>
        <w:rPr>
          <w:rFonts w:ascii="Arial" w:hAnsi="Arial" w:cs="Arial"/>
          <w:rtl w:val="true"/>
        </w:rPr>
        <w:t>וכי אם מדובר בנשק שהוחזק משך זמן ארוך במיוחד ללא ראיה שנעשה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זה מהווה נסיבה לקולא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שיש</w:t>
      </w:r>
      <w:r>
        <w:rPr>
          <w:rFonts w:ascii="Arial" w:hAnsi="Arial" w:cs="Arial"/>
          <w:rtl w:val="true"/>
        </w:rPr>
        <w:t xml:space="preserve"> לקבוע מתחם עונש </w:t>
      </w:r>
      <w:r>
        <w:rPr>
          <w:rFonts w:ascii="Arial" w:hAnsi="Arial" w:cs="Arial"/>
          <w:rtl w:val="true"/>
        </w:rPr>
        <w:t xml:space="preserve">הולם </w:t>
      </w:r>
      <w:r>
        <w:rPr>
          <w:rFonts w:ascii="Arial" w:hAnsi="Arial" w:cs="Arial"/>
          <w:rtl w:val="true"/>
        </w:rPr>
        <w:t>שנע</w:t>
      </w:r>
      <w:r>
        <w:rPr>
          <w:rFonts w:ascii="Arial" w:hAnsi="Arial" w:cs="Arial"/>
          <w:rtl w:val="true"/>
        </w:rPr>
        <w:t xml:space="preserve"> בין מאסר קצר לבין מאסר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הוזכרה הודאתו ונטילת אחריות וחיסכון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 חייו הקשות של הנאשם </w:t>
      </w:r>
      <w:r>
        <w:rPr>
          <w:rFonts w:ascii="Arial" w:hAnsi="Arial" w:cs="Arial"/>
          <w:rtl w:val="true"/>
        </w:rPr>
        <w:t>כשתואר שאביו נפטר כשהיה ילד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ושהנאשם הוא 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צעירים משתי מערכות יחסים שונות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הוגשו מסמכים רפואיים באשר למצב בריאות אמו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אוזכרה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הפסיקה הבאה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36698-12-18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מוחמד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19.11.19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הורשע נאשם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פי הודאתו </w:t>
      </w:r>
      <w:r>
        <w:rPr>
          <w:rFonts w:ascii="Arial" w:hAnsi="Arial" w:cs="Arial"/>
          <w:rtl w:val="true"/>
        </w:rPr>
        <w:t>בביצוע</w:t>
      </w:r>
      <w:r>
        <w:rPr>
          <w:rFonts w:ascii="Arial" w:hAnsi="Arial" w:cs="Arial"/>
          <w:rtl w:val="true"/>
        </w:rPr>
        <w:t xml:space="preserve"> עבירות נשק והחזקה </w:t>
      </w:r>
      <w:r>
        <w:rPr>
          <w:rFonts w:ascii="Arial" w:hAnsi="Arial" w:cs="Arial"/>
          <w:rtl w:val="true"/>
        </w:rPr>
        <w:t>רישא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וסיפא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נתפס</w:t>
      </w:r>
      <w:r>
        <w:rPr>
          <w:rFonts w:ascii="Arial" w:hAnsi="Arial" w:cs="Arial"/>
          <w:rtl w:val="true"/>
        </w:rPr>
        <w:t xml:space="preserve"> נוהג ברכבו כשהוא מחזיק מתחת לבגדיו אקדח ובתוכו מחסנית ומחסנית נוספת על מושב הנוסע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</w:t>
      </w:r>
      <w:r>
        <w:rPr>
          <w:rFonts w:ascii="Arial" w:hAnsi="Arial" w:cs="Arial"/>
          <w:rtl w:val="true"/>
        </w:rPr>
        <w:t xml:space="preserve"> מתחם ענישה שבין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והוטלו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חי</w:t>
      </w:r>
      <w:r>
        <w:rPr>
          <w:rFonts w:cs="Arial" w:ascii="Arial" w:hAnsi="Arial"/>
          <w:rtl w:val="true"/>
        </w:rPr>
        <w:t xml:space="preserve">') </w:t>
      </w:r>
      <w:r>
        <w:rPr>
          <w:rFonts w:cs="Arial" w:ascii="Arial" w:hAnsi="Arial"/>
        </w:rPr>
        <w:t>63360-04-21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מוניר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סעד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שם </w:t>
      </w:r>
      <w:r>
        <w:rPr>
          <w:rFonts w:ascii="Arial" w:hAnsi="Arial" w:cs="Arial"/>
          <w:rtl w:val="true"/>
        </w:rPr>
        <w:t>הודה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כאשר על פי כתב ה</w:t>
      </w:r>
      <w:r>
        <w:rPr>
          <w:rFonts w:ascii="Arial" w:hAnsi="Arial" w:cs="Arial"/>
          <w:rtl w:val="true"/>
        </w:rPr>
        <w:t>אישום</w:t>
      </w:r>
      <w:r>
        <w:rPr>
          <w:rFonts w:ascii="Arial" w:hAnsi="Arial" w:cs="Arial"/>
          <w:rtl w:val="true"/>
        </w:rPr>
        <w:t xml:space="preserve"> המתוקן החזיק והוביל </w:t>
      </w:r>
      <w:r>
        <w:rPr>
          <w:rFonts w:ascii="Arial" w:hAnsi="Arial" w:cs="Arial"/>
          <w:rtl w:val="true"/>
        </w:rPr>
        <w:t>תת</w:t>
      </w:r>
      <w:r>
        <w:rPr>
          <w:rFonts w:ascii="Arial" w:hAnsi="Arial" w:cs="Arial"/>
          <w:rtl w:val="true"/>
        </w:rPr>
        <w:t xml:space="preserve"> מקלע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עם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ורימון הלם סינוור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המקלע נמצא כשהוא עטוף בחולצת בד </w:t>
      </w:r>
      <w:r>
        <w:rPr>
          <w:rFonts w:ascii="Arial" w:hAnsi="Arial" w:cs="Arial"/>
          <w:rtl w:val="true"/>
        </w:rPr>
        <w:t>והרימון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עטוף בניילון נצמד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הורשע בנוסף בעבירת איומים כלפי 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נגזרו</w:t>
      </w:r>
      <w:r>
        <w:rPr>
          <w:rFonts w:ascii="Arial" w:hAnsi="Arial" w:cs="Arial"/>
          <w:rtl w:val="true"/>
        </w:rPr>
        <w:t xml:space="preserve">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כאשר נקבע מתחם שבין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נצ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61466-06-21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שיבלו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11.11.21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שם בגין עבירות של נשיאה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באזור מגורים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חוקית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נהיגה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השפעת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משקאות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משכרים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והסתייעות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</w:t>
      </w:r>
      <w:r>
        <w:rPr>
          <w:rFonts w:ascii="Arial" w:hAnsi="Arial" w:cs="Arial"/>
          <w:rtl w:val="true"/>
        </w:rPr>
        <w:t xml:space="preserve"> מתחם שבין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והוטלו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יוער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שמקרה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ועובדותיו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ממקרה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הנוס</w:t>
      </w:r>
      <w:r>
        <w:rPr>
          <w:rFonts w:ascii="Arial" w:hAnsi="Arial" w:cs="Arial"/>
          <w:rtl w:val="true"/>
        </w:rPr>
        <w:t>פת</w:t>
      </w:r>
      <w:r>
        <w:rPr>
          <w:rFonts w:ascii="Arial" w:hAnsi="Arial" w:cs="Arial"/>
          <w:rtl w:val="true"/>
        </w:rPr>
        <w:t xml:space="preserve"> שהסנגור הגיש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</w:t>
      </w:r>
      <w:r>
        <w:rPr>
          <w:rFonts w:ascii="Arial" w:hAnsi="Arial" w:cs="Arial"/>
          <w:rtl w:val="true"/>
        </w:rPr>
        <w:t xml:space="preserve"> החברתיים המוגנים שנפגעו היו שמירה על שלום הציבור וביטחונו </w:t>
      </w:r>
      <w:r>
        <w:rPr>
          <w:rFonts w:ascii="Arial" w:hAnsi="Arial" w:cs="Arial"/>
          <w:rtl w:val="true"/>
        </w:rPr>
        <w:t>ושמירה</w:t>
      </w:r>
      <w:r>
        <w:rPr>
          <w:rFonts w:ascii="Arial" w:hAnsi="Arial" w:cs="Arial"/>
          <w:rtl w:val="true"/>
        </w:rPr>
        <w:t xml:space="preserve"> על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היות שמדובר בעבירות נשק – </w:t>
      </w:r>
      <w:r>
        <w:rPr>
          <w:rFonts w:ascii="Arial" w:hAnsi="Arial" w:cs="Arial"/>
          <w:rtl w:val="true"/>
        </w:rPr>
        <w:t>החזקה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ונשיאה</w:t>
      </w:r>
      <w:r>
        <w:rPr>
          <w:rFonts w:ascii="Arial" w:hAnsi="Arial" w:cs="Arial"/>
          <w:rtl w:val="true"/>
        </w:rPr>
        <w:t xml:space="preserve"> – מדובר בפגיעה משמעותית בערכים המוגנים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לעמוד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רכיב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אולם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עובדה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ארוכה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יחסית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נושא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באחריות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בלעדית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סייג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פלילית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למען</w:t>
      </w:r>
      <w:r>
        <w:rPr>
          <w:rFonts w:ascii="Arial" w:hAnsi="Arial" w:cs="Arial"/>
          <w:rtl w:val="true"/>
        </w:rPr>
        <w:t xml:space="preserve"> הסדר יצוין שעל אף שמדובר באקדח הזנקה שהוסב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המתוקן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נרשם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בכלי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שמסוגל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כדו</w:t>
      </w:r>
      <w:r>
        <w:rPr>
          <w:rFonts w:ascii="Arial" w:hAnsi="Arial" w:cs="Arial"/>
          <w:rtl w:val="true"/>
        </w:rPr>
        <w:t>ר</w:t>
      </w:r>
      <w:r>
        <w:rPr>
          <w:rFonts w:ascii="Arial" w:hAnsi="Arial" w:cs="Arial"/>
          <w:rtl w:val="true"/>
        </w:rPr>
        <w:t xml:space="preserve"> שבכוחו להמית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יצוין שמהחומר </w:t>
      </w:r>
      <w:r>
        <w:rPr>
          <w:rFonts w:ascii="Arial" w:hAnsi="Arial" w:cs="Arial"/>
          <w:rtl w:val="true"/>
        </w:rPr>
        <w:t>שבתיק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</w:t>
      </w:r>
      <w:r>
        <w:rPr>
          <w:rFonts w:ascii="Arial" w:hAnsi="Arial" w:cs="Arial"/>
          <w:rtl w:val="true"/>
        </w:rPr>
        <w:t xml:space="preserve"> שהנאשם אכן החזיק את הנשק ונשא אותו לשם הגנה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 דבר זה לא צוין בכתב האישום המתוקן אך עולה מהחומר שהוגש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</w:t>
      </w:r>
      <w:r>
        <w:rPr>
          <w:rFonts w:ascii="Arial" w:hAnsi="Arial" w:cs="Arial"/>
          <w:rtl w:val="true"/>
        </w:rPr>
        <w:t xml:space="preserve"> האמור ומהפסיקה שהוגשה נראה שמתחם הענישה </w:t>
      </w:r>
      <w:r>
        <w:rPr>
          <w:rFonts w:ascii="Arial" w:hAnsi="Arial" w:cs="Arial"/>
          <w:rtl w:val="true"/>
        </w:rPr>
        <w:t xml:space="preserve">ההולם </w:t>
      </w:r>
      <w:r>
        <w:rPr>
          <w:rFonts w:ascii="Arial" w:hAnsi="Arial" w:cs="Arial"/>
          <w:rtl w:val="true"/>
        </w:rPr>
        <w:t>נמצא</w:t>
      </w:r>
      <w:r>
        <w:rPr>
          <w:rFonts w:ascii="Arial" w:hAnsi="Arial" w:cs="Arial"/>
          <w:rtl w:val="true"/>
        </w:rPr>
        <w:t xml:space="preserve">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לפסיקת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לחומר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עברו הפלילי של הנאשם</w:t>
      </w:r>
      <w:r>
        <w:rPr>
          <w:rFonts w:ascii="Arial" w:hAnsi="Arial" w:cs="Arial"/>
          <w:rtl w:val="true"/>
        </w:rPr>
        <w:t xml:space="preserve"> הכולל כמות בלתי מבוטלת של הרשעות קודמות במגוון עבירות פליליות ובהן גם 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ולקולא הודאתו המהירה ונסיבותיו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</w:t>
      </w:r>
      <w:r>
        <w:rPr>
          <w:rFonts w:ascii="Arial" w:hAnsi="Arial" w:cs="Arial"/>
          <w:rtl w:val="true"/>
        </w:rPr>
        <w:t xml:space="preserve">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יצוין שבסופו של עניין לא נעשה שימוש באקדח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באיזון בין השיקולים השונים יש למקם את העונש בחלק האמצעי של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האמור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מטיל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שמהם תנוכה תקופת מעצרו מיום </w:t>
      </w:r>
      <w:r>
        <w:rPr>
          <w:rFonts w:cs="Arial" w:ascii="Arial" w:hAnsi="Arial"/>
        </w:rPr>
        <w:t>3.10.22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שיופעלו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במידה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יבצע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או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קנס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בסך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לתשלום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1.6.24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  <w:u w:val="single"/>
        </w:rPr>
        <w:t>45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יום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17655-10-22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נח חווא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2">
    <w:lvl w:ilvl="0">
      <w:start w:val="8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7791493" TargetMode="External"/><Relationship Id="rId9" Type="http://schemas.openxmlformats.org/officeDocument/2006/relationships/hyperlink" Target="http://www.nevo.co.il/case/5958231" TargetMode="External"/><Relationship Id="rId10" Type="http://schemas.openxmlformats.org/officeDocument/2006/relationships/hyperlink" Target="http://www.nevo.co.il/case/2177140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1863824" TargetMode="External"/><Relationship Id="rId13" Type="http://schemas.openxmlformats.org/officeDocument/2006/relationships/hyperlink" Target="http://www.nevo.co.il/case/24269595" TargetMode="External"/><Relationship Id="rId14" Type="http://schemas.openxmlformats.org/officeDocument/2006/relationships/hyperlink" Target="http://www.nevo.co.il/case/20612009" TargetMode="External"/><Relationship Id="rId15" Type="http://schemas.openxmlformats.org/officeDocument/2006/relationships/hyperlink" Target="http://www.nevo.co.il/case/21478653" TargetMode="External"/><Relationship Id="rId16" Type="http://schemas.openxmlformats.org/officeDocument/2006/relationships/hyperlink" Target="http://www.nevo.co.il/case/28883087" TargetMode="External"/><Relationship Id="rId17" Type="http://schemas.openxmlformats.org/officeDocument/2006/relationships/hyperlink" Target="http://www.nevo.co.il/case/27355028" TargetMode="External"/><Relationship Id="rId18" Type="http://schemas.openxmlformats.org/officeDocument/2006/relationships/hyperlink" Target="http://www.nevo.co.il/case/25235171" TargetMode="External"/><Relationship Id="rId19" Type="http://schemas.openxmlformats.org/officeDocument/2006/relationships/hyperlink" Target="http://www.nevo.co.il/case/27740094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2024-04-07T08:55:00Z</dcterms:created>
  <dc:creator> </dc:creator>
  <dc:description/>
  <cp:keywords/>
  <dc:language>en-IL</dc:language>
  <cp:lastModifiedBy>h1</cp:lastModifiedBy>
  <dcterms:modified xsi:type="dcterms:W3CDTF">2024-04-07T08:55:00Z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נח חווא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7791493;5958231;21771409;21863824;24269595;20612009;21478653;28883087;27355028;25235171;27740094</vt:lpwstr>
  </property>
  <property fmtid="{D5CDD505-2E9C-101B-9397-08002B2CF9AE}" pid="9" name="CITY">
    <vt:lpwstr>חי'</vt:lpwstr>
  </property>
  <property fmtid="{D5CDD505-2E9C-101B-9397-08002B2CF9AE}" pid="10" name="DATE">
    <vt:lpwstr>20230612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</vt:lpwstr>
  </property>
  <property fmtid="{D5CDD505-2E9C-101B-9397-08002B2CF9AE}" pid="15" name="LAWYER">
    <vt:lpwstr>שרה אריאל;אלביר מני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17655</vt:lpwstr>
  </property>
  <property fmtid="{D5CDD505-2E9C-101B-9397-08002B2CF9AE}" pid="22" name="NEWPARTB">
    <vt:lpwstr>10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390020230612</vt:lpwstr>
  </property>
  <property fmtid="{D5CDD505-2E9C-101B-9397-08002B2CF9AE}" pid="34" name="TYPE_N_DATE">
    <vt:lpwstr>39020230612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