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772"/>
        <w:gridCol w:w="269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8306"/>
                <w:tab w:val="center" w:pos="4153" w:leader="none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בבית המשפט המחוזי בנצרת</w:t>
            </w:r>
          </w:p>
        </w:tc>
      </w:tr>
      <w:tr>
        <w:trPr>
          <w:trHeight w:val="337" w:hRule="atLeast"/>
        </w:trPr>
        <w:tc>
          <w:tcPr>
            <w:tcW w:w="477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b/>
                <w:bCs/>
                <w:sz w:val="26"/>
                <w:szCs w:val="26"/>
              </w:rPr>
              <w:t>178-09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מוראד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4153"/>
                <w:tab w:val="right" w:pos="8306" w:leader="none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ספטמבר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ind w:end="0"/>
        <w:jc w:val="start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81"/>
        <w:gridCol w:w="1279"/>
        <w:gridCol w:w="5778"/>
        <w:gridCol w:w="82"/>
      </w:tblGrid>
      <w:tr>
        <w:trPr>
          <w:trHeight w:val="337" w:hRule="atLeast"/>
        </w:trPr>
        <w:tc>
          <w:tcPr>
            <w:tcW w:w="1581" w:type="dxa"/>
            <w:tcBorders/>
          </w:tcPr>
          <w:p>
            <w:pPr>
              <w:pStyle w:val="Header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rFonts w:eastAsia="David"/>
                <w:b/>
                <w:bCs/>
                <w:rtl w:val="true"/>
              </w:rPr>
              <w:t xml:space="preserve">      </w:t>
            </w:r>
          </w:p>
        </w:tc>
        <w:tc>
          <w:tcPr>
            <w:tcW w:w="7057" w:type="dxa"/>
            <w:gridSpan w:val="2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</w:rPr>
              <w:t>2158/09</w:t>
            </w:r>
          </w:p>
        </w:tc>
        <w:tc>
          <w:tcPr>
            <w:tcW w:w="8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638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rtl w:val="true"/>
              </w:rPr>
              <w:t>בפני 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השופטת אסתר הלמן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8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860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 xml:space="preserve">מדינת ישראל </w:t>
            </w:r>
          </w:p>
        </w:tc>
      </w:tr>
      <w:tr>
        <w:trPr/>
        <w:tc>
          <w:tcPr>
            <w:tcW w:w="8720" w:type="dxa"/>
            <w:gridSpan w:val="4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 ג ד</w:t>
            </w:r>
          </w:p>
        </w:tc>
      </w:tr>
      <w:tr>
        <w:trPr/>
        <w:tc>
          <w:tcPr>
            <w:tcW w:w="2860" w:type="dxa"/>
            <w:gridSpan w:val="2"/>
            <w:tcBorders/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5860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 xml:space="preserve">חוסאם מוראד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  <w:tab/>
        <w:tab/>
      </w:r>
      <w:bookmarkStart w:id="2" w:name="FirstLawyer"/>
      <w:r>
        <w:rPr>
          <w:u w:val="none"/>
          <w:rtl w:val="true"/>
        </w:rPr>
        <w:t>בשם</w:t>
      </w:r>
      <w:bookmarkEnd w:id="2"/>
      <w:r>
        <w:rPr>
          <w:u w:val="none"/>
          <w:rtl w:val="true"/>
        </w:rPr>
        <w:t xml:space="preserve"> המאשימה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מורן רייצ</w:t>
      </w:r>
      <w:r>
        <w:rPr>
          <w:u w:val="none"/>
          <w:rtl w:val="true"/>
        </w:rPr>
        <w:t>'</w:t>
      </w:r>
      <w:r>
        <w:rPr>
          <w:u w:val="none"/>
          <w:rtl w:val="true"/>
        </w:rPr>
        <w:t>רס</w:t>
      </w:r>
      <w:r>
        <w:rPr>
          <w:u w:val="none"/>
          <w:rtl w:val="true"/>
        </w:rPr>
        <w:t xml:space="preserve">. </w:t>
      </w:r>
    </w:p>
    <w:p>
      <w:pPr>
        <w:pStyle w:val="12"/>
        <w:spacing w:lineRule="auto" w:line="360"/>
        <w:ind w:end="0"/>
        <w:jc w:val="start"/>
        <w:rPr/>
      </w:pPr>
      <w:r>
        <w:rPr>
          <w:u w:val="none"/>
          <w:rtl w:val="true"/>
        </w:rPr>
        <w:tab/>
        <w:tab/>
      </w:r>
      <w:r>
        <w:rPr>
          <w:u w:val="none"/>
          <w:rtl w:val="true"/>
        </w:rPr>
        <w:t>בשם הנאשם ע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פלאח</w:t>
      </w:r>
      <w:r>
        <w:rPr>
          <w:u w:val="none"/>
          <w:rtl w:val="true"/>
        </w:rPr>
        <w:t xml:space="preserve">, </w:t>
      </w:r>
      <w:r>
        <w:rPr>
          <w:u w:val="none"/>
          <w:rtl w:val="true"/>
        </w:rPr>
        <w:t>ממשרדו של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יוסף עאמר</w:t>
      </w:r>
      <w:r>
        <w:rPr>
          <w:u w:val="none"/>
          <w:rtl w:val="true"/>
        </w:rPr>
        <w:t xml:space="preserve">. 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ab/>
        <w:tab/>
      </w:r>
      <w:r>
        <w:rPr>
          <w:u w:val="none"/>
          <w:rtl w:val="true"/>
        </w:rPr>
        <w:t>הנאשם בעצמו</w:t>
      </w:r>
      <w:r>
        <w:rPr>
          <w:u w:val="none"/>
          <w:rtl w:val="true"/>
        </w:rPr>
        <w:t xml:space="preserve">, </w:t>
      </w:r>
      <w:r>
        <w:rPr>
          <w:u w:val="none"/>
          <w:rtl w:val="true"/>
        </w:rPr>
        <w:t>הובא על ידי הליווי</w:t>
      </w:r>
      <w:r>
        <w:rPr>
          <w:u w:val="none"/>
          <w:rtl w:val="true"/>
        </w:rPr>
        <w:t xml:space="preserve">.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bookmarkStart w:id="10" w:name="ABSTRACT_START"/>
      <w:bookmarkEnd w:id="10"/>
      <w:r>
        <w:rPr>
          <w:rtl w:val="true"/>
        </w:rPr>
        <w:t>הנאשם הודה</w:t>
      </w:r>
      <w:r>
        <w:rPr>
          <w:rtl w:val="true"/>
        </w:rPr>
        <w:t xml:space="preserve">, </w:t>
      </w:r>
      <w:r>
        <w:rPr>
          <w:rtl w:val="true"/>
        </w:rPr>
        <w:t>במסגרת הסדר טיעון</w:t>
      </w:r>
      <w:r>
        <w:rPr>
          <w:rtl w:val="true"/>
        </w:rPr>
        <w:t xml:space="preserve">, </w:t>
      </w:r>
      <w:r>
        <w:rPr>
          <w:rtl w:val="true"/>
        </w:rPr>
        <w:t xml:space="preserve">כי במהלך שנת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 xml:space="preserve">ותחילת שנת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עסק</w:t>
      </w:r>
      <w:r>
        <w:rPr>
          <w:rtl w:val="true"/>
        </w:rPr>
        <w:t xml:space="preserve">, </w:t>
      </w:r>
      <w:r>
        <w:rPr>
          <w:rtl w:val="true"/>
        </w:rPr>
        <w:t>בצוותא עם שני שותפים</w:t>
      </w:r>
      <w:r>
        <w:rPr>
          <w:rtl w:val="true"/>
        </w:rPr>
        <w:t xml:space="preserve">,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בר סאלח ויחיא עבד אלחלים</w:t>
      </w:r>
      <w:r>
        <w:rPr>
          <w:rtl w:val="true"/>
        </w:rPr>
        <w:t xml:space="preserve">, </w:t>
      </w:r>
      <w:r>
        <w:rPr>
          <w:rtl w:val="true"/>
        </w:rPr>
        <w:t>במכירה</w:t>
      </w:r>
      <w:r>
        <w:rPr>
          <w:rtl w:val="true"/>
        </w:rPr>
        <w:t xml:space="preserve">, </w:t>
      </w:r>
      <w:r>
        <w:rPr>
          <w:rtl w:val="true"/>
        </w:rPr>
        <w:t>קניה וקבלה של כלי רכב גנובים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החבורה פעלה בשיטתיות לשכפול כלי הרכב והכשרת כלי הרכב הגנובים</w:t>
      </w:r>
      <w:r>
        <w:rPr>
          <w:rtl w:val="true"/>
        </w:rPr>
        <w:t xml:space="preserve">, </w:t>
      </w:r>
      <w:r>
        <w:rPr>
          <w:rtl w:val="true"/>
        </w:rPr>
        <w:t>תוך זיוף רישיונותיהם והתקנת לוחיות רישוי אחרות</w:t>
      </w:r>
      <w:r>
        <w:rPr>
          <w:rtl w:val="true"/>
        </w:rPr>
        <w:t xml:space="preserve">, </w:t>
      </w:r>
      <w:r>
        <w:rPr>
          <w:rtl w:val="true"/>
        </w:rPr>
        <w:t>כך שיחזו ככלי רכב כשרים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זויפו תעודות זהות התואמות את שם בעל הרכב הכשר</w:t>
      </w:r>
      <w:r>
        <w:rPr>
          <w:rtl w:val="true"/>
        </w:rPr>
        <w:t xml:space="preserve">. </w:t>
      </w:r>
      <w:r>
        <w:rPr>
          <w:rtl w:val="true"/>
        </w:rPr>
        <w:t>באופן זה התאפשר לנאשם ולשותפיו להשתמש בכלי הרכב</w:t>
      </w:r>
      <w:r>
        <w:rPr>
          <w:rtl w:val="true"/>
        </w:rPr>
        <w:t xml:space="preserve">, </w:t>
      </w:r>
      <w:r>
        <w:rPr>
          <w:rtl w:val="true"/>
        </w:rPr>
        <w:t>למוכרם באופן הנחזה להיות חוקי ולשעבדם תמורת הלוואות שנטלו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2</w:t>
      </w:r>
      <w:r>
        <w:rPr>
          <w:rtl w:val="true"/>
        </w:rPr>
        <w:t>.</w:t>
        <w:tab/>
      </w:r>
      <w:r>
        <w:rPr>
          <w:rtl w:val="true"/>
        </w:rPr>
        <w:t>כתב האישום מפרט שבעה אישומים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במסגרת הקשר שקשרו השותפים</w:t>
      </w:r>
      <w:r>
        <w:rPr>
          <w:rtl w:val="true"/>
        </w:rPr>
        <w:t xml:space="preserve">, </w:t>
      </w:r>
      <w:r>
        <w:rPr>
          <w:rtl w:val="true"/>
        </w:rPr>
        <w:t>זויפו מסמכים בשיטה האמורה</w:t>
      </w:r>
      <w:r>
        <w:rPr>
          <w:rtl w:val="true"/>
        </w:rPr>
        <w:t xml:space="preserve">, </w:t>
      </w:r>
      <w:r>
        <w:rPr>
          <w:rtl w:val="true"/>
        </w:rPr>
        <w:t>נעשה בהם שימוש ונתקבל דבר במרמה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באישום הראשון זויפו רישיונותיו של רכב טויוטא לקסוס גנוב</w:t>
      </w:r>
      <w:r>
        <w:rPr>
          <w:rtl w:val="true"/>
        </w:rPr>
        <w:t xml:space="preserve">, </w:t>
      </w:r>
      <w:r>
        <w:rPr>
          <w:rtl w:val="true"/>
        </w:rPr>
        <w:t>על ידי יחיא</w:t>
      </w:r>
      <w:r>
        <w:rPr>
          <w:rtl w:val="true"/>
        </w:rPr>
        <w:t xml:space="preserve">, </w:t>
      </w:r>
      <w:r>
        <w:rPr>
          <w:rtl w:val="true"/>
        </w:rPr>
        <w:t>ותוך שימוש בתעודת זהות מזויפת הועברה הבעלות ברכב</w:t>
      </w:r>
      <w:r>
        <w:rPr>
          <w:rtl w:val="true"/>
        </w:rPr>
        <w:t xml:space="preserve">. </w:t>
      </w:r>
      <w:r>
        <w:rPr>
          <w:rtl w:val="true"/>
        </w:rPr>
        <w:t xml:space="preserve">הנאשם שעבד את הרכב המשוכפל לבנק לאומי וקיבל כנגד כך הלוואה בסך </w:t>
      </w:r>
      <w:r>
        <w:rPr/>
        <w:t>200,000</w:t>
      </w:r>
      <w:r>
        <w:rPr>
          <w:rtl w:val="true"/>
        </w:rPr>
        <w:t xml:space="preserve"> ₪, </w:t>
      </w:r>
      <w:r>
        <w:rPr>
          <w:rtl w:val="true"/>
        </w:rPr>
        <w:t xml:space="preserve">מתוכה נתן ליחיא </w:t>
      </w:r>
      <w:r>
        <w:rPr/>
        <w:t>115,000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color w:val="FF0000"/>
        </w:rPr>
      </w:pPr>
      <w:r>
        <w:rPr>
          <w:rtl w:val="true"/>
        </w:rPr>
        <w:t xml:space="preserve">בגין מעשים אלו הורשע הנאשם בעבירות של זיוף בכוונה לקבל דבר בנסיבות מחמירות </w:t>
      </w:r>
      <w:r>
        <w:rPr>
          <w:rtl w:val="true"/>
        </w:rPr>
        <w:t>(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>
          <w:rtl w:val="true"/>
        </w:rPr>
        <w:t>מקרים</w:t>
      </w:r>
      <w:r>
        <w:rPr>
          <w:rtl w:val="true"/>
        </w:rPr>
        <w:t xml:space="preserve">), </w:t>
      </w:r>
      <w:r>
        <w:rPr>
          <w:rtl w:val="true"/>
        </w:rPr>
        <w:t xml:space="preserve">עבירה לפי סעיף </w:t>
      </w:r>
      <w:r>
        <w:rPr/>
        <w:t>418</w:t>
      </w:r>
      <w:r>
        <w:rPr>
          <w:rtl w:val="true"/>
        </w:rPr>
        <w:t xml:space="preserve"> </w:t>
      </w:r>
      <w:r>
        <w:rPr>
          <w:rtl w:val="true"/>
        </w:rPr>
        <w:t xml:space="preserve">בצירוף סעיף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>: "</w:t>
      </w:r>
      <w:r>
        <w:rPr>
          <w:b/>
          <w:b/>
          <w:bCs/>
          <w:rtl w:val="true"/>
        </w:rPr>
        <w:t>חוק העונשין</w:t>
      </w:r>
      <w:r>
        <w:rPr>
          <w:b/>
          <w:bCs/>
          <w:rtl w:val="true"/>
        </w:rPr>
        <w:t>"),</w:t>
      </w:r>
      <w:r>
        <w:rPr>
          <w:rtl w:val="true"/>
        </w:rPr>
        <w:t xml:space="preserve"> </w:t>
      </w:r>
      <w:r>
        <w:rPr>
          <w:rtl w:val="true"/>
        </w:rPr>
        <w:t>שימוש במסמך מזויף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420</w:t>
      </w:r>
      <w:r>
        <w:rPr>
          <w:rtl w:val="true"/>
        </w:rPr>
        <w:t xml:space="preserve"> </w:t>
      </w:r>
      <w:r>
        <w:rPr>
          <w:rtl w:val="true"/>
        </w:rPr>
        <w:t xml:space="preserve">בצירוף סעיף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, </w:t>
      </w:r>
      <w:r>
        <w:rPr>
          <w:rtl w:val="true"/>
        </w:rPr>
        <w:t>גניבה או זיוף של מסמך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413</w:t>
      </w:r>
      <w:r>
        <w:rPr>
          <w:rtl w:val="true"/>
        </w:rPr>
        <w:t>ח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 xml:space="preserve">בצירוף סעיף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לחוק העונשין וקבלת דבר במרמה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415</w:t>
      </w:r>
      <w:r>
        <w:rPr>
          <w:rtl w:val="true"/>
        </w:rPr>
        <w:t xml:space="preserve"> </w:t>
      </w:r>
      <w:r>
        <w:rPr>
          <w:rtl w:val="true"/>
        </w:rPr>
        <w:t xml:space="preserve">בצירוף סעיף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0000"/>
        </w:rPr>
      </w:pPr>
      <w:r>
        <w:rPr>
          <w:color w:val="FF0000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על פי האישום השני</w:t>
      </w:r>
      <w:r>
        <w:rPr>
          <w:rtl w:val="true"/>
        </w:rPr>
        <w:t xml:space="preserve">, </w:t>
      </w:r>
      <w:r>
        <w:rPr>
          <w:rtl w:val="true"/>
        </w:rPr>
        <w:t>באופן דומה למתואר לעיל</w:t>
      </w:r>
      <w:r>
        <w:rPr>
          <w:rtl w:val="true"/>
        </w:rPr>
        <w:t xml:space="preserve">, </w:t>
      </w:r>
      <w:r>
        <w:rPr>
          <w:rtl w:val="true"/>
        </w:rPr>
        <w:t>שוכפלה זהותו של רכב טויוטה לנד קרוזר כדי להכשיר רכב גנוב</w:t>
      </w:r>
      <w:r>
        <w:rPr>
          <w:rtl w:val="true"/>
        </w:rPr>
        <w:t xml:space="preserve">. </w:t>
      </w:r>
      <w:r>
        <w:rPr>
          <w:rtl w:val="true"/>
        </w:rPr>
        <w:t>תוך שימוש במסמכים מזויפים</w:t>
      </w:r>
      <w:r>
        <w:rPr>
          <w:rtl w:val="true"/>
        </w:rPr>
        <w:t xml:space="preserve">, </w:t>
      </w:r>
      <w:r>
        <w:rPr>
          <w:rtl w:val="true"/>
        </w:rPr>
        <w:t xml:space="preserve">נמכר הרכב הגנוב לקונה תמים תמורת סך של </w:t>
      </w:r>
      <w:r>
        <w:rPr/>
        <w:t>160,000</w:t>
      </w:r>
      <w:r>
        <w:rPr>
          <w:rtl w:val="true"/>
        </w:rPr>
        <w:t xml:space="preserve"> ₪ </w:t>
      </w:r>
      <w:r>
        <w:rPr>
          <w:rtl w:val="true"/>
        </w:rPr>
        <w:t>והבעלות בו הועברה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 xml:space="preserve">בגין מעשים אלו הורשע הנאשם בעבירות של זיוף בכוונה לקבל דבר בנסיבות מחמירות </w:t>
      </w:r>
      <w:r>
        <w:rPr>
          <w:rtl w:val="true"/>
        </w:rPr>
        <w:t>(</w:t>
      </w:r>
      <w:r>
        <w:rPr>
          <w:rtl w:val="true"/>
        </w:rPr>
        <w:t>מספר מקרים</w:t>
      </w:r>
      <w:r>
        <w:rPr>
          <w:rtl w:val="true"/>
        </w:rPr>
        <w:t xml:space="preserve">), </w:t>
      </w:r>
      <w:r>
        <w:rPr>
          <w:rtl w:val="true"/>
        </w:rPr>
        <w:t xml:space="preserve">עבירה לפי סעיף </w:t>
      </w:r>
      <w:r>
        <w:rPr/>
        <w:t>418</w:t>
      </w:r>
      <w:r>
        <w:rPr>
          <w:rtl w:val="true"/>
        </w:rPr>
        <w:t xml:space="preserve"> </w:t>
      </w:r>
      <w:r>
        <w:rPr>
          <w:rtl w:val="true"/>
        </w:rPr>
        <w:t xml:space="preserve">בצירוף סעיף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שימוש במסמך מזויף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420</w:t>
      </w:r>
      <w:r>
        <w:rPr>
          <w:rtl w:val="true"/>
        </w:rPr>
        <w:t xml:space="preserve"> </w:t>
      </w:r>
      <w:r>
        <w:rPr>
          <w:rtl w:val="true"/>
        </w:rPr>
        <w:t xml:space="preserve">בצירוף סעיף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לחוק העונשין וגניבה או זיוף של מסמך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413</w:t>
      </w:r>
      <w:r>
        <w:rPr>
          <w:rtl w:val="true"/>
        </w:rPr>
        <w:t>ח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 xml:space="preserve">בצירוף סעיף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, </w:t>
      </w:r>
      <w:r>
        <w:rPr>
          <w:rtl w:val="true"/>
        </w:rPr>
        <w:t>קבלת דבר במרמה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415</w:t>
      </w:r>
      <w:r>
        <w:rPr>
          <w:rtl w:val="true"/>
        </w:rPr>
        <w:t xml:space="preserve"> </w:t>
      </w:r>
      <w:r>
        <w:rPr>
          <w:rtl w:val="true"/>
        </w:rPr>
        <w:t xml:space="preserve">בצירוף סעיף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לחוק העונשין ומסחר ברכב גנוב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413</w:t>
      </w:r>
      <w:r>
        <w:rPr>
          <w:rtl w:val="true"/>
        </w:rPr>
        <w:t xml:space="preserve"> </w:t>
      </w:r>
      <w:r>
        <w:rPr>
          <w:rtl w:val="true"/>
        </w:rPr>
        <w:t>יא</w:t>
      </w:r>
      <w:r>
        <w:rPr>
          <w:rtl w:val="true"/>
        </w:rPr>
        <w:t xml:space="preserve">' </w:t>
      </w:r>
      <w:r>
        <w:rPr>
          <w:rtl w:val="true"/>
        </w:rPr>
        <w:t xml:space="preserve">בצירוף סעיף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על פי האישום השלישי</w:t>
      </w:r>
      <w:r>
        <w:rPr>
          <w:rtl w:val="true"/>
        </w:rPr>
        <w:t xml:space="preserve">, </w:t>
      </w:r>
      <w:r>
        <w:rPr>
          <w:rtl w:val="true"/>
        </w:rPr>
        <w:t>בהתאם לשיטה המפורטת לעיל</w:t>
      </w:r>
      <w:r>
        <w:rPr>
          <w:rtl w:val="true"/>
        </w:rPr>
        <w:t xml:space="preserve">, </w:t>
      </w:r>
      <w:r>
        <w:rPr>
          <w:rtl w:val="true"/>
        </w:rPr>
        <w:t>שוכפל רכב וולקסווגן גולף במטרה להכשיר רכב מאותו סוג שנגנב קודם לכן</w:t>
      </w:r>
      <w:r>
        <w:rPr>
          <w:rtl w:val="true"/>
        </w:rPr>
        <w:t xml:space="preserve">. </w:t>
      </w:r>
      <w:r>
        <w:rPr>
          <w:rtl w:val="true"/>
        </w:rPr>
        <w:t>באמצעות המסמכים המזויפים</w:t>
      </w:r>
      <w:r>
        <w:rPr>
          <w:rtl w:val="true"/>
        </w:rPr>
        <w:t xml:space="preserve">, </w:t>
      </w:r>
      <w:r>
        <w:rPr>
          <w:rtl w:val="true"/>
        </w:rPr>
        <w:t xml:space="preserve">נמכר הרכב הגנוב לקונה תמימה תמורת </w:t>
      </w:r>
      <w:r>
        <w:rPr/>
        <w:t>75,000</w:t>
      </w:r>
      <w:r>
        <w:rPr>
          <w:rtl w:val="true"/>
        </w:rPr>
        <w:t xml:space="preserve"> ₪ </w:t>
      </w:r>
      <w:r>
        <w:rPr>
          <w:rtl w:val="true"/>
        </w:rPr>
        <w:t>והבעלות בו הועברה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color w:val="FF0000"/>
        </w:rPr>
      </w:pPr>
      <w:r>
        <w:rPr>
          <w:rtl w:val="true"/>
        </w:rPr>
        <w:t xml:space="preserve">בגין מעשים אלה הורשע הנאשם בעבירות של זיוף בכוונה לקבל דבר בנסיבות מחמירות </w:t>
      </w:r>
      <w:r>
        <w:rPr>
          <w:rtl w:val="true"/>
        </w:rPr>
        <w:t>(</w:t>
      </w:r>
      <w:r>
        <w:rPr>
          <w:rtl w:val="true"/>
        </w:rPr>
        <w:t>מספר מקרים</w:t>
      </w:r>
      <w:r>
        <w:rPr>
          <w:rtl w:val="true"/>
        </w:rPr>
        <w:t xml:space="preserve">), </w:t>
      </w:r>
      <w:r>
        <w:rPr>
          <w:rtl w:val="true"/>
        </w:rPr>
        <w:t xml:space="preserve">עבירה לפי סעיף </w:t>
      </w:r>
      <w:r>
        <w:rPr/>
        <w:t>418</w:t>
      </w:r>
      <w:r>
        <w:rPr>
          <w:rtl w:val="true"/>
        </w:rPr>
        <w:t xml:space="preserve">, </w:t>
      </w:r>
      <w:r>
        <w:rPr>
          <w:rtl w:val="true"/>
        </w:rPr>
        <w:t xml:space="preserve">בצירוף סעיף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שימוש במסמך מזויף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420</w:t>
      </w:r>
      <w:r>
        <w:rPr>
          <w:rtl w:val="true"/>
        </w:rPr>
        <w:t xml:space="preserve"> </w:t>
      </w:r>
      <w:r>
        <w:rPr>
          <w:rtl w:val="true"/>
        </w:rPr>
        <w:t xml:space="preserve">בצירוף סעיף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, </w:t>
      </w:r>
      <w:r>
        <w:rPr>
          <w:rtl w:val="true"/>
        </w:rPr>
        <w:t>גניבה או זיוף של מסמך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413</w:t>
      </w:r>
      <w:r>
        <w:rPr>
          <w:rtl w:val="true"/>
        </w:rPr>
        <w:t>ח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 xml:space="preserve">בצירוף סעיף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, </w:t>
      </w:r>
      <w:r>
        <w:rPr>
          <w:rtl w:val="true"/>
        </w:rPr>
        <w:t>קבלת דבר במרמה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415</w:t>
      </w:r>
      <w:r>
        <w:rPr>
          <w:rtl w:val="true"/>
        </w:rPr>
        <w:t xml:space="preserve"> </w:t>
      </w:r>
      <w:r>
        <w:rPr>
          <w:rtl w:val="true"/>
        </w:rPr>
        <w:t xml:space="preserve">בצירוף סעיף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לחוק העונשין ומסחר ברכב גנוב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413</w:t>
      </w:r>
      <w:r>
        <w:rPr>
          <w:rtl w:val="true"/>
        </w:rPr>
        <w:t xml:space="preserve">יא בצירוף סעיף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0000"/>
        </w:rPr>
      </w:pPr>
      <w:r>
        <w:rPr>
          <w:color w:val="FF0000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על פי האישום הרביעי</w:t>
      </w:r>
      <w:r>
        <w:rPr>
          <w:rtl w:val="true"/>
        </w:rPr>
        <w:t xml:space="preserve">, </w:t>
      </w:r>
      <w:r>
        <w:rPr>
          <w:rtl w:val="true"/>
        </w:rPr>
        <w:t>שוכפלה זהותו של רכב טויוטה לנד קרוזר</w:t>
      </w:r>
      <w:r>
        <w:rPr>
          <w:rtl w:val="true"/>
        </w:rPr>
        <w:t xml:space="preserve">, </w:t>
      </w:r>
      <w:r>
        <w:rPr>
          <w:rtl w:val="true"/>
        </w:rPr>
        <w:t>הנמצא בבעלותה של המתלוננת באישום זה</w:t>
      </w:r>
      <w:r>
        <w:rPr>
          <w:rtl w:val="true"/>
        </w:rPr>
        <w:t xml:space="preserve">, </w:t>
      </w:r>
      <w:r>
        <w:rPr>
          <w:rtl w:val="true"/>
        </w:rPr>
        <w:t>לשם קבלת הלוואה</w:t>
      </w:r>
      <w:r>
        <w:rPr>
          <w:rtl w:val="true"/>
        </w:rPr>
        <w:t xml:space="preserve">, </w:t>
      </w:r>
      <w:r>
        <w:rPr>
          <w:rtl w:val="true"/>
        </w:rPr>
        <w:t>שלא היה בכוונת השותפים להחזירה</w:t>
      </w:r>
      <w:r>
        <w:rPr>
          <w:rtl w:val="true"/>
        </w:rPr>
        <w:t xml:space="preserve">, </w:t>
      </w:r>
      <w:r>
        <w:rPr>
          <w:rtl w:val="true"/>
        </w:rPr>
        <w:t>כנגד שעבוד הרכב המשוכפל</w:t>
      </w:r>
      <w:r>
        <w:rPr>
          <w:rtl w:val="true"/>
        </w:rPr>
        <w:t xml:space="preserve">. </w:t>
      </w:r>
      <w:r>
        <w:rPr>
          <w:rtl w:val="true"/>
        </w:rPr>
        <w:t>לבקשת הנאשם</w:t>
      </w:r>
      <w:r>
        <w:rPr>
          <w:rtl w:val="true"/>
        </w:rPr>
        <w:t xml:space="preserve">, </w:t>
      </w:r>
      <w:r>
        <w:rPr>
          <w:rtl w:val="true"/>
        </w:rPr>
        <w:t>זייף יחיא את רשיונות הרכב ותעודת הזהות של בעלי הרכב המקורי</w:t>
      </w:r>
      <w:r>
        <w:rPr>
          <w:rtl w:val="true"/>
        </w:rPr>
        <w:t xml:space="preserve">. </w:t>
      </w:r>
      <w:r>
        <w:rPr>
          <w:rtl w:val="true"/>
        </w:rPr>
        <w:t>הנאשם העביר את הבעלות ברכב המקורי</w:t>
      </w:r>
      <w:r>
        <w:rPr>
          <w:rtl w:val="true"/>
        </w:rPr>
        <w:t xml:space="preserve">, </w:t>
      </w:r>
      <w:r>
        <w:rPr>
          <w:rtl w:val="true"/>
        </w:rPr>
        <w:t>תוך שימוש במסמכים המזויפים ושעבד את הרכב לבנק מזרחי</w:t>
      </w:r>
      <w:r>
        <w:rPr>
          <w:rtl w:val="true"/>
        </w:rPr>
        <w:t>-</w:t>
      </w:r>
      <w:r>
        <w:rPr>
          <w:rtl w:val="true"/>
        </w:rPr>
        <w:t xml:space="preserve">טפחות כנגד הלוואה בסך </w:t>
      </w:r>
      <w:r>
        <w:rPr/>
        <w:t>170,000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 xml:space="preserve">בגין מעשים אלו הורשע הנאשם בעבירות של זיוף בכוונה לקבל דבר בנסיבות מחמירות </w:t>
      </w:r>
      <w:r>
        <w:rPr>
          <w:rtl w:val="true"/>
        </w:rPr>
        <w:t>(</w:t>
      </w:r>
      <w:r>
        <w:rPr>
          <w:rtl w:val="true"/>
        </w:rPr>
        <w:t>מספר מקרים</w:t>
      </w:r>
      <w:r>
        <w:rPr>
          <w:rtl w:val="true"/>
        </w:rPr>
        <w:t xml:space="preserve">), </w:t>
      </w:r>
      <w:r>
        <w:rPr>
          <w:rtl w:val="true"/>
        </w:rPr>
        <w:t xml:space="preserve">עבירה לפי סעיף </w:t>
      </w:r>
      <w:r>
        <w:rPr/>
        <w:t>418</w:t>
      </w:r>
      <w:r>
        <w:rPr>
          <w:rtl w:val="true"/>
        </w:rPr>
        <w:t xml:space="preserve"> </w:t>
      </w:r>
      <w:r>
        <w:rPr>
          <w:rtl w:val="true"/>
        </w:rPr>
        <w:t xml:space="preserve">בצירוף סעיף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גניבה או זיוף של מסמך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413</w:t>
      </w:r>
      <w:r>
        <w:rPr>
          <w:rtl w:val="true"/>
        </w:rPr>
        <w:t>ח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 xml:space="preserve">בצירוף סעיף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, </w:t>
      </w:r>
      <w:r>
        <w:rPr>
          <w:rtl w:val="true"/>
        </w:rPr>
        <w:t>שימוש במסמך מזויף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420</w:t>
      </w:r>
      <w:r>
        <w:rPr>
          <w:rtl w:val="true"/>
        </w:rPr>
        <w:t xml:space="preserve"> </w:t>
      </w:r>
      <w:r>
        <w:rPr>
          <w:rtl w:val="true"/>
        </w:rPr>
        <w:t xml:space="preserve">בצירוף סעיף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, </w:t>
      </w:r>
      <w:r>
        <w:rPr>
          <w:rtl w:val="true"/>
        </w:rPr>
        <w:t>גניבה או זיוף של מסמך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413</w:t>
      </w:r>
      <w:r>
        <w:rPr>
          <w:rtl w:val="true"/>
        </w:rPr>
        <w:t>ח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 xml:space="preserve">בצירוף סעיף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לחוק העונשין וקבלת דבר במרמה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415</w:t>
      </w:r>
      <w:r>
        <w:rPr>
          <w:rtl w:val="true"/>
        </w:rPr>
        <w:t xml:space="preserve"> </w:t>
      </w:r>
      <w:r>
        <w:rPr>
          <w:rtl w:val="true"/>
        </w:rPr>
        <w:t xml:space="preserve">בצירוף סעיף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BodyText"/>
        <w:ind w:hanging="720" w:start="1440" w:end="0"/>
        <w:jc w:val="both"/>
        <w:rPr/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על פי האישום החמישי</w:t>
      </w:r>
      <w:r>
        <w:rPr>
          <w:rtl w:val="true"/>
        </w:rPr>
        <w:t xml:space="preserve">, </w:t>
      </w:r>
      <w:r>
        <w:rPr>
          <w:rtl w:val="true"/>
        </w:rPr>
        <w:t>שוכפלו מסמכיו של רכב מרצדס וזהותו הולבשה על רכב מרצדס שנגנב קודם לכן</w:t>
      </w:r>
      <w:r>
        <w:rPr>
          <w:rtl w:val="true"/>
        </w:rPr>
        <w:t xml:space="preserve">, </w:t>
      </w:r>
      <w:r>
        <w:rPr>
          <w:rtl w:val="true"/>
        </w:rPr>
        <w:t>וזאת לשם קבלת הלוואה</w:t>
      </w:r>
      <w:r>
        <w:rPr>
          <w:rtl w:val="true"/>
        </w:rPr>
        <w:t xml:space="preserve">, </w:t>
      </w:r>
      <w:r>
        <w:rPr>
          <w:rtl w:val="true"/>
        </w:rPr>
        <w:t>שלא היה בכוונת הנאשם ושותפיו לשלם</w:t>
      </w:r>
      <w:r>
        <w:rPr>
          <w:rtl w:val="true"/>
        </w:rPr>
        <w:t xml:space="preserve">. </w:t>
      </w:r>
      <w:r>
        <w:rPr>
          <w:rtl w:val="true"/>
        </w:rPr>
        <w:t>תוך שימוש במסמכים מזויפים</w:t>
      </w:r>
      <w:r>
        <w:rPr>
          <w:rtl w:val="true"/>
        </w:rPr>
        <w:t xml:space="preserve">, </w:t>
      </w:r>
      <w:r>
        <w:rPr>
          <w:rtl w:val="true"/>
        </w:rPr>
        <w:t xml:space="preserve">שועבד הרכב לבנק המזרחי </w:t>
      </w:r>
      <w:r>
        <w:rPr>
          <w:rtl w:val="true"/>
        </w:rPr>
        <w:t xml:space="preserve">- </w:t>
      </w:r>
      <w:r>
        <w:rPr>
          <w:rtl w:val="true"/>
        </w:rPr>
        <w:t>טפחות</w:t>
      </w:r>
      <w:r>
        <w:rPr>
          <w:rtl w:val="true"/>
        </w:rPr>
        <w:t xml:space="preserve">, </w:t>
      </w:r>
      <w:r>
        <w:rPr>
          <w:rtl w:val="true"/>
        </w:rPr>
        <w:t xml:space="preserve">כנגד הלוואה בסך של </w:t>
      </w:r>
      <w:r>
        <w:rPr/>
        <w:t>180,000</w:t>
      </w:r>
      <w:r>
        <w:rPr>
          <w:rtl w:val="true"/>
        </w:rPr>
        <w:t xml:space="preserve"> ₪. </w:t>
      </w:r>
    </w:p>
    <w:p>
      <w:pPr>
        <w:pStyle w:val="BodyText"/>
        <w:ind w:hanging="720" w:start="1440" w:end="0"/>
        <w:jc w:val="both"/>
        <w:rPr/>
      </w:pPr>
      <w:r>
        <w:rPr>
          <w:rtl w:val="true"/>
        </w:rPr>
      </w:r>
    </w:p>
    <w:p>
      <w:pPr>
        <w:pStyle w:val="BodyText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בגין עבירות אלו הורשע הנאשם בזיוף בכוונה לקבל דבר בנסיבות מחמירות </w:t>
      </w:r>
      <w:r>
        <w:rPr>
          <w:rtl w:val="true"/>
        </w:rPr>
        <w:t>(</w:t>
      </w:r>
      <w:r>
        <w:rPr>
          <w:rtl w:val="true"/>
        </w:rPr>
        <w:t>מספר מקרים</w:t>
      </w:r>
      <w:r>
        <w:rPr>
          <w:rtl w:val="true"/>
        </w:rPr>
        <w:t xml:space="preserve">), </w:t>
      </w:r>
      <w:r>
        <w:rPr>
          <w:rtl w:val="true"/>
        </w:rPr>
        <w:t xml:space="preserve">עבירה לפי סעיף </w:t>
      </w:r>
      <w:r>
        <w:rPr/>
        <w:t>418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שימוש במסמך מזויף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420</w:t>
      </w:r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, </w:t>
      </w:r>
      <w:r>
        <w:rPr>
          <w:rtl w:val="true"/>
        </w:rPr>
        <w:t>גניבה או זיוף של מסמך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413</w:t>
      </w:r>
      <w:r>
        <w:rPr>
          <w:rtl w:val="true"/>
        </w:rPr>
        <w:t>י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לחוק העונשין וקבלת דבר במרמה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415</w:t>
      </w:r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על פי האישום השישי</w:t>
      </w:r>
      <w:r>
        <w:rPr>
          <w:rtl w:val="true"/>
        </w:rPr>
        <w:t xml:space="preserve">, </w:t>
      </w:r>
      <w:r>
        <w:rPr>
          <w:rtl w:val="true"/>
        </w:rPr>
        <w:t>במסגרת הקשר</w:t>
      </w:r>
      <w:r>
        <w:rPr>
          <w:rtl w:val="true"/>
        </w:rPr>
        <w:t xml:space="preserve">, </w:t>
      </w:r>
      <w:r>
        <w:rPr>
          <w:rtl w:val="true"/>
        </w:rPr>
        <w:t>שכפלו הנאשם ושותפיו את מסמכיו של רכב מסוג טויוטא לנד קרוזר השייך למתלונן באישום זה</w:t>
      </w:r>
      <w:r>
        <w:rPr>
          <w:rtl w:val="true"/>
        </w:rPr>
        <w:t xml:space="preserve">, </w:t>
      </w:r>
      <w:r>
        <w:rPr>
          <w:rtl w:val="true"/>
        </w:rPr>
        <w:t>במטרה לשעבדו לבנק לאומי</w:t>
      </w:r>
      <w:r>
        <w:rPr>
          <w:rtl w:val="true"/>
        </w:rPr>
        <w:t xml:space="preserve">. </w:t>
      </w:r>
      <w:r>
        <w:rPr>
          <w:rtl w:val="true"/>
        </w:rPr>
        <w:t>בעזרת מסמכי הרכב המזויפים</w:t>
      </w:r>
      <w:r>
        <w:rPr>
          <w:rtl w:val="true"/>
        </w:rPr>
        <w:t xml:space="preserve">, </w:t>
      </w:r>
      <w:r>
        <w:rPr>
          <w:rtl w:val="true"/>
        </w:rPr>
        <w:t>ותעודת זהות מזויפת</w:t>
      </w:r>
      <w:r>
        <w:rPr>
          <w:rtl w:val="true"/>
        </w:rPr>
        <w:t xml:space="preserve">, </w:t>
      </w:r>
      <w:r>
        <w:rPr>
          <w:rtl w:val="true"/>
        </w:rPr>
        <w:t>הועבר הרכב על שמה של אחרת</w:t>
      </w:r>
      <w:r>
        <w:rPr>
          <w:rtl w:val="true"/>
        </w:rPr>
        <w:t xml:space="preserve">, </w:t>
      </w:r>
      <w:r>
        <w:rPr>
          <w:rtl w:val="true"/>
        </w:rPr>
        <w:t>בשם אינאס</w:t>
      </w:r>
      <w:r>
        <w:rPr>
          <w:rtl w:val="true"/>
        </w:rPr>
        <w:t xml:space="preserve">, </w:t>
      </w:r>
      <w:r>
        <w:rPr>
          <w:rtl w:val="true"/>
        </w:rPr>
        <w:t xml:space="preserve">ושועבד לבנק לאומי כנגד הלוואה בסך </w:t>
      </w:r>
      <w:r>
        <w:rPr/>
        <w:t>140,000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color w:val="FF0000"/>
        </w:rPr>
      </w:pPr>
      <w:r>
        <w:rPr>
          <w:color w:val="FF0000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color w:val="FF0000"/>
        </w:rPr>
      </w:pPr>
      <w:r>
        <w:rPr>
          <w:rtl w:val="true"/>
        </w:rPr>
        <w:t xml:space="preserve">בגין מעשים אלו הורשע הנאשם בעבירות של זיוף בכוונה לקבל דבר בנסיבות מחמירות </w:t>
      </w:r>
      <w:r>
        <w:rPr>
          <w:rtl w:val="true"/>
        </w:rPr>
        <w:t>(</w:t>
      </w:r>
      <w:r>
        <w:rPr>
          <w:rtl w:val="true"/>
        </w:rPr>
        <w:t>מספר מקרים</w:t>
      </w:r>
      <w:r>
        <w:rPr>
          <w:rtl w:val="true"/>
        </w:rPr>
        <w:t xml:space="preserve">) </w:t>
      </w:r>
      <w:r>
        <w:rPr>
          <w:rtl w:val="true"/>
        </w:rPr>
        <w:t xml:space="preserve">עבירה לפי סעיף </w:t>
      </w:r>
      <w:r>
        <w:rPr/>
        <w:t>418</w:t>
      </w:r>
      <w:r>
        <w:rPr>
          <w:rtl w:val="true"/>
        </w:rPr>
        <w:t xml:space="preserve"> </w:t>
      </w:r>
      <w:r>
        <w:rPr>
          <w:rtl w:val="true"/>
        </w:rPr>
        <w:t xml:space="preserve">בצירוף סעיף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שימוש במסמך מזויף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420</w:t>
      </w:r>
      <w:r>
        <w:rPr>
          <w:rtl w:val="true"/>
        </w:rPr>
        <w:t xml:space="preserve"> </w:t>
      </w:r>
      <w:r>
        <w:rPr>
          <w:rtl w:val="true"/>
        </w:rPr>
        <w:t xml:space="preserve">בצירוף סעיף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, </w:t>
      </w:r>
      <w:r>
        <w:rPr>
          <w:rtl w:val="true"/>
        </w:rPr>
        <w:t>גניבה או זיוף של מסמך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413</w:t>
      </w:r>
      <w:r>
        <w:rPr>
          <w:rtl w:val="true"/>
        </w:rPr>
        <w:t>ח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 xml:space="preserve">בצירוף סעיף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לחוק העונשין וקבלת דבר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415</w:t>
      </w:r>
      <w:r>
        <w:rPr>
          <w:rtl w:val="true"/>
        </w:rPr>
        <w:t xml:space="preserve"> </w:t>
      </w:r>
      <w:r>
        <w:rPr>
          <w:rtl w:val="true"/>
        </w:rPr>
        <w:t xml:space="preserve">בצירוף סעיף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0000"/>
        </w:rPr>
      </w:pPr>
      <w:r>
        <w:rPr>
          <w:color w:val="FF0000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על פי האישום השביעי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07/12/08</w:t>
      </w:r>
      <w:r>
        <w:rPr>
          <w:rtl w:val="true"/>
        </w:rPr>
        <w:t xml:space="preserve"> </w:t>
      </w:r>
      <w:r>
        <w:rPr>
          <w:rtl w:val="true"/>
        </w:rPr>
        <w:t>נתפס רכב המרצדס המשוכפל</w:t>
      </w:r>
      <w:r>
        <w:rPr>
          <w:rtl w:val="true"/>
        </w:rPr>
        <w:t xml:space="preserve">, </w:t>
      </w:r>
      <w:r>
        <w:rPr>
          <w:rtl w:val="true"/>
        </w:rPr>
        <w:t>אשר שועבד לבנק המזרחי</w:t>
      </w:r>
      <w:r>
        <w:rPr>
          <w:rtl w:val="true"/>
        </w:rPr>
        <w:t xml:space="preserve">, </w:t>
      </w:r>
      <w:r>
        <w:rPr>
          <w:rtl w:val="true"/>
        </w:rPr>
        <w:t>כמתואר באישום החמישי</w:t>
      </w:r>
      <w:r>
        <w:rPr>
          <w:rtl w:val="true"/>
        </w:rPr>
        <w:t xml:space="preserve">, </w:t>
      </w:r>
      <w:r>
        <w:rPr>
          <w:rtl w:val="true"/>
        </w:rPr>
        <w:t>על ידי משטרת ישראל בסמוך לאחר מכן</w:t>
      </w:r>
      <w:r>
        <w:rPr>
          <w:rtl w:val="true"/>
        </w:rPr>
        <w:t xml:space="preserve">, </w:t>
      </w:r>
      <w:r>
        <w:rPr>
          <w:rtl w:val="true"/>
        </w:rPr>
        <w:t>קשר הנאשם קשר עם יחיא לשכפל את מסמכיו של רכב מסוג טויוטא לנד קרוזר השייך למתלוננת באישום זה וזיוף מסמכיו</w:t>
      </w:r>
      <w:r>
        <w:rPr>
          <w:rtl w:val="true"/>
        </w:rPr>
        <w:t xml:space="preserve">, </w:t>
      </w:r>
      <w:r>
        <w:rPr>
          <w:rtl w:val="true"/>
        </w:rPr>
        <w:t>לשם שיעבודו לבנק המזרחי תחת רכב המרצדס שנתפס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באמצעות מסמכי הרכב המזוייפים ותעודת זהות מזוייפת</w:t>
      </w:r>
      <w:r>
        <w:rPr>
          <w:rtl w:val="true"/>
        </w:rPr>
        <w:t xml:space="preserve">, </w:t>
      </w:r>
      <w:r>
        <w:rPr>
          <w:rtl w:val="true"/>
        </w:rPr>
        <w:t>הועבר הרכב ע</w:t>
      </w:r>
      <w:r>
        <w:rPr>
          <w:rtl w:val="true"/>
        </w:rPr>
        <w:t>"</w:t>
      </w:r>
      <w:r>
        <w:rPr>
          <w:rtl w:val="true"/>
        </w:rPr>
        <w:t>ש אדם אחר ושועבד לבנק המזרחי</w:t>
      </w:r>
      <w:r>
        <w:rPr>
          <w:rtl w:val="true"/>
        </w:rPr>
        <w:t xml:space="preserve">, </w:t>
      </w:r>
      <w:r>
        <w:rPr>
          <w:rtl w:val="true"/>
        </w:rPr>
        <w:t>תחת רכב המרצדס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 xml:space="preserve">בגין מעשים אלו הורשע הנאשם בעבירות של זיוף בכוונה לקבל דבר בנסיבות מחמירות </w:t>
      </w:r>
      <w:r>
        <w:rPr>
          <w:rtl w:val="true"/>
        </w:rPr>
        <w:t>(</w:t>
      </w:r>
      <w:r>
        <w:rPr>
          <w:rtl w:val="true"/>
        </w:rPr>
        <w:t>מספר מקרים</w:t>
      </w:r>
      <w:r>
        <w:rPr>
          <w:rtl w:val="true"/>
        </w:rPr>
        <w:t xml:space="preserve">), </w:t>
      </w:r>
      <w:r>
        <w:rPr>
          <w:rtl w:val="true"/>
        </w:rPr>
        <w:t xml:space="preserve">עבירה לפי סעיף </w:t>
      </w:r>
      <w:r>
        <w:rPr/>
        <w:t>418</w:t>
      </w:r>
      <w:r>
        <w:rPr>
          <w:rtl w:val="true"/>
        </w:rPr>
        <w:t xml:space="preserve"> </w:t>
      </w:r>
      <w:r>
        <w:rPr>
          <w:rtl w:val="true"/>
        </w:rPr>
        <w:t xml:space="preserve">בצירוף סעיף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שימוש במסמך מזויף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420</w:t>
      </w:r>
      <w:r>
        <w:rPr>
          <w:rtl w:val="true"/>
        </w:rPr>
        <w:t xml:space="preserve"> </w:t>
      </w:r>
      <w:r>
        <w:rPr>
          <w:rtl w:val="true"/>
        </w:rPr>
        <w:t xml:space="preserve">בצירוף סעיף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, </w:t>
      </w:r>
      <w:r>
        <w:rPr>
          <w:rtl w:val="true"/>
        </w:rPr>
        <w:t>גניבה או זיוף של מסמך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413</w:t>
      </w:r>
      <w:r>
        <w:rPr>
          <w:rtl w:val="true"/>
        </w:rPr>
        <w:t>ח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 xml:space="preserve">בצירוף סעיף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לחוק העונשין וקבלת דבר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415</w:t>
      </w:r>
      <w:r>
        <w:rPr>
          <w:rtl w:val="true"/>
        </w:rPr>
        <w:t xml:space="preserve"> </w:t>
      </w:r>
      <w:r>
        <w:rPr>
          <w:rtl w:val="true"/>
        </w:rPr>
        <w:t xml:space="preserve">בצירוף סעיף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בנוסף לאמור לעיל</w:t>
      </w:r>
      <w:r>
        <w:rPr>
          <w:rtl w:val="true"/>
        </w:rPr>
        <w:t xml:space="preserve">, </w:t>
      </w:r>
      <w:r>
        <w:rPr>
          <w:rtl w:val="true"/>
        </w:rPr>
        <w:t>הורשע הנאשם</w:t>
      </w:r>
      <w:r>
        <w:rPr>
          <w:rtl w:val="true"/>
        </w:rPr>
        <w:t xml:space="preserve">, </w:t>
      </w:r>
      <w:r>
        <w:rPr>
          <w:rtl w:val="true"/>
        </w:rPr>
        <w:t>על פי הודאתו</w:t>
      </w:r>
      <w:r>
        <w:rPr>
          <w:rtl w:val="true"/>
        </w:rPr>
        <w:t xml:space="preserve">, </w:t>
      </w:r>
      <w:r>
        <w:rPr>
          <w:rtl w:val="true"/>
        </w:rPr>
        <w:t xml:space="preserve">גם בעבירה שיוחסה לו בכתב אישום מתוקן שהוגש כנגדו בתיק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' </w:t>
      </w:r>
      <w:r>
        <w:rPr>
          <w:color w:val="000000"/>
        </w:rPr>
        <w:t>1325/08</w:t>
      </w:r>
      <w:r>
        <w:rPr>
          <w:rtl w:val="true"/>
        </w:rPr>
        <w:t xml:space="preserve"> (</w:t>
      </w:r>
      <w:r>
        <w:rPr>
          <w:rtl w:val="true"/>
        </w:rPr>
        <w:t>שלום כפר סבא</w:t>
      </w:r>
      <w:r>
        <w:rPr>
          <w:rtl w:val="true"/>
        </w:rPr>
        <w:t xml:space="preserve">), </w:t>
      </w:r>
      <w:r>
        <w:rPr>
          <w:rtl w:val="true"/>
        </w:rPr>
        <w:t>אשר צורף לבקשתו</w:t>
      </w:r>
      <w:r>
        <w:rPr>
          <w:rtl w:val="true"/>
        </w:rPr>
        <w:t xml:space="preserve">, </w:t>
      </w:r>
      <w:r>
        <w:rPr>
          <w:rtl w:val="true"/>
        </w:rPr>
        <w:t>עבירה שעניינה החזקת נשק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לפי 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בתאריך </w:t>
      </w:r>
      <w:r>
        <w:rPr/>
        <w:t>26/02/08</w:t>
      </w:r>
      <w:r>
        <w:rPr>
          <w:rtl w:val="true"/>
        </w:rPr>
        <w:t xml:space="preserve"> </w:t>
      </w:r>
      <w:r>
        <w:rPr>
          <w:rtl w:val="true"/>
        </w:rPr>
        <w:t>החזיק הנאשם בביתו של אדם בשם חאלד סלאמה</w:t>
      </w:r>
      <w:r>
        <w:rPr>
          <w:rtl w:val="true"/>
        </w:rPr>
        <w:t xml:space="preserve">, </w:t>
      </w:r>
      <w:r>
        <w:rPr>
          <w:rtl w:val="true"/>
        </w:rPr>
        <w:t>אקדח תופי טעון בשישה כדורים</w:t>
      </w:r>
      <w:r>
        <w:rPr>
          <w:rtl w:val="true"/>
        </w:rPr>
        <w:t xml:space="preserve">,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כאשר הגיעו שוטרים אל הבית</w:t>
      </w:r>
      <w:r>
        <w:rPr>
          <w:rtl w:val="true"/>
        </w:rPr>
        <w:t xml:space="preserve">, </w:t>
      </w:r>
      <w:r>
        <w:rPr>
          <w:rtl w:val="true"/>
        </w:rPr>
        <w:t>סייע לו נאשם 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באותו כתב אישום</w:t>
      </w:r>
      <w:r>
        <w:rPr>
          <w:rtl w:val="true"/>
        </w:rPr>
        <w:t xml:space="preserve">, </w:t>
      </w:r>
      <w:r>
        <w:rPr>
          <w:rtl w:val="true"/>
        </w:rPr>
        <w:t>להסתיר את האקדח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3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הודאת הנאשם באה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במסגרת הסדר טיעון שהושג בשלב מוקדם של ההליך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הסדר הטיעון כלל תיקונו של כתב האישום והודאת הנאשם במיוחס לו בכתב אישום זה</w:t>
      </w:r>
      <w:r>
        <w:rPr>
          <w:rtl w:val="true"/>
        </w:rPr>
        <w:t xml:space="preserve">. </w:t>
      </w:r>
      <w:r>
        <w:rPr>
          <w:rtl w:val="true"/>
        </w:rPr>
        <w:t>לא היה כל הסדר באשר לעונש שיושת על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4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בטרם גזירת הדין</w:t>
      </w:r>
      <w:r>
        <w:rPr>
          <w:rtl w:val="true"/>
        </w:rPr>
        <w:t xml:space="preserve">, </w:t>
      </w:r>
      <w:r>
        <w:rPr>
          <w:rtl w:val="true"/>
        </w:rPr>
        <w:t>עתר הנאשם להזמנת תסקיר שרות המבחן</w:t>
      </w:r>
      <w:r>
        <w:rPr>
          <w:rtl w:val="true"/>
        </w:rPr>
        <w:t xml:space="preserve">, </w:t>
      </w:r>
      <w:r>
        <w:rPr>
          <w:rtl w:val="true"/>
        </w:rPr>
        <w:t>המאשימה לא התנגדה לכך</w:t>
      </w:r>
      <w:r>
        <w:rPr>
          <w:rtl w:val="true"/>
        </w:rPr>
        <w:t xml:space="preserve">, </w:t>
      </w:r>
      <w:r>
        <w:rPr>
          <w:rtl w:val="true"/>
        </w:rPr>
        <w:t>מבלי שהדבר יחייבה להסכים להמלצות התסקיר</w:t>
      </w:r>
      <w:r>
        <w:rPr>
          <w:rtl w:val="true"/>
        </w:rPr>
        <w:t xml:space="preserve">, </w:t>
      </w:r>
      <w:r>
        <w:rPr>
          <w:rtl w:val="true"/>
        </w:rPr>
        <w:t xml:space="preserve">ובהמשך לכך הונח בפני תסקיר שרות המבחן מיום </w:t>
      </w:r>
      <w:r>
        <w:rPr/>
        <w:t>08/07/10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5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בטיעוניו לעונש עמד ב</w:t>
      </w:r>
      <w:r>
        <w:rPr>
          <w:rtl w:val="true"/>
        </w:rPr>
        <w:t>"</w:t>
      </w:r>
      <w:r>
        <w:rPr>
          <w:rtl w:val="true"/>
        </w:rPr>
        <w:t>כ המאשימה על כך שהנאשם פעל</w:t>
      </w:r>
      <w:r>
        <w:rPr>
          <w:rtl w:val="true"/>
        </w:rPr>
        <w:t xml:space="preserve">, </w:t>
      </w:r>
      <w:r>
        <w:rPr>
          <w:rtl w:val="true"/>
        </w:rPr>
        <w:t>יחד עם אחרים</w:t>
      </w:r>
      <w:r>
        <w:rPr>
          <w:rtl w:val="true"/>
        </w:rPr>
        <w:t xml:space="preserve">, </w:t>
      </w:r>
      <w:r>
        <w:rPr>
          <w:rtl w:val="true"/>
        </w:rPr>
        <w:t>כחלק מכנופיה מתוחכמת</w:t>
      </w:r>
      <w:r>
        <w:rPr>
          <w:rtl w:val="true"/>
        </w:rPr>
        <w:t xml:space="preserve">, </w:t>
      </w:r>
      <w:r>
        <w:rPr>
          <w:rtl w:val="true"/>
        </w:rPr>
        <w:t>שעסקה בגניבת רכבים בהיקף ניכר</w:t>
      </w:r>
      <w:r>
        <w:rPr>
          <w:rtl w:val="true"/>
        </w:rPr>
        <w:t xml:space="preserve">, </w:t>
      </w:r>
      <w:r>
        <w:rPr>
          <w:rtl w:val="true"/>
        </w:rPr>
        <w:t>אף שהנאשם עצמו לא הואשם בגניבת הרכבים</w:t>
      </w:r>
      <w:r>
        <w:rPr>
          <w:rtl w:val="true"/>
        </w:rPr>
        <w:t xml:space="preserve">, </w:t>
      </w:r>
      <w:r>
        <w:rPr>
          <w:rtl w:val="true"/>
        </w:rPr>
        <w:t>אלא במסחר בהם</w:t>
      </w:r>
      <w:r>
        <w:rPr>
          <w:rtl w:val="true"/>
        </w:rPr>
        <w:t xml:space="preserve">, </w:t>
      </w:r>
      <w:r>
        <w:rPr>
          <w:rtl w:val="true"/>
        </w:rPr>
        <w:t>זיוף ויתר העבירות המפורטות בכתב האישום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גרף סכום של כ</w:t>
      </w:r>
      <w:r>
        <w:rPr>
          <w:rtl w:val="true"/>
        </w:rPr>
        <w:t>-</w:t>
      </w:r>
      <w:r>
        <w:rPr/>
        <w:t>700,000</w:t>
      </w:r>
      <w:r>
        <w:rPr>
          <w:rtl w:val="true"/>
        </w:rPr>
        <w:t xml:space="preserve"> ₪, </w:t>
      </w:r>
      <w:r>
        <w:rPr>
          <w:rtl w:val="true"/>
        </w:rPr>
        <w:t>לכיסו</w:t>
      </w:r>
      <w:r>
        <w:rPr>
          <w:rtl w:val="true"/>
        </w:rPr>
        <w:t xml:space="preserve">, </w:t>
      </w:r>
      <w:r>
        <w:rPr>
          <w:rtl w:val="true"/>
        </w:rPr>
        <w:t xml:space="preserve">ובאישום השביעי קיבל הנאשם </w:t>
      </w:r>
      <w:r>
        <w:rPr/>
        <w:t>200,000</w:t>
      </w:r>
      <w:r>
        <w:rPr>
          <w:rtl w:val="true"/>
        </w:rPr>
        <w:t xml:space="preserve"> ₪ </w:t>
      </w:r>
      <w:r>
        <w:rPr>
          <w:rtl w:val="true"/>
        </w:rPr>
        <w:t>שהם סכום הלוואה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ביקש לקחת בחשבון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גם את הנזק שגרם הנאשם לבעלי הרכבים המקוריים שזהותם שוכפלה</w:t>
      </w:r>
      <w:r>
        <w:rPr>
          <w:rtl w:val="true"/>
        </w:rPr>
        <w:t xml:space="preserve">, </w:t>
      </w:r>
      <w:r>
        <w:rPr>
          <w:rtl w:val="true"/>
        </w:rPr>
        <w:t>ואת שווי הרכבים שנגנבו</w:t>
      </w:r>
      <w:r>
        <w:rPr>
          <w:rtl w:val="true"/>
        </w:rPr>
        <w:t xml:space="preserve">. </w:t>
      </w:r>
      <w:r>
        <w:rPr>
          <w:rtl w:val="true"/>
        </w:rPr>
        <w:t xml:space="preserve">גובה הנזק הכספי שנגרם במעשיו של הנאשם לציבור הוא לעמדת המאשימה מעל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מליון ₪</w:t>
      </w:r>
      <w:r>
        <w:rPr>
          <w:rtl w:val="true"/>
        </w:rPr>
        <w:t xml:space="preserve">, </w:t>
      </w:r>
      <w:r>
        <w:rPr>
          <w:rtl w:val="true"/>
        </w:rPr>
        <w:t>הבא בהמשך ל</w:t>
      </w:r>
      <w:r>
        <w:rPr>
          <w:rtl w:val="true"/>
        </w:rPr>
        <w:t>"</w:t>
      </w:r>
      <w:r>
        <w:rPr>
          <w:rtl w:val="true"/>
        </w:rPr>
        <w:t>מכת מדינה</w:t>
      </w:r>
      <w:r>
        <w:rPr>
          <w:rtl w:val="true"/>
        </w:rPr>
        <w:t xml:space="preserve">" </w:t>
      </w:r>
      <w:r>
        <w:rPr>
          <w:rtl w:val="true"/>
        </w:rPr>
        <w:t>בנושא 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נסיבותיו האישיות של הנאשם</w:t>
      </w:r>
      <w:r>
        <w:rPr>
          <w:rtl w:val="true"/>
        </w:rPr>
        <w:t xml:space="preserve">, </w:t>
      </w:r>
      <w:r>
        <w:rPr>
          <w:rtl w:val="true"/>
        </w:rPr>
        <w:t>לעמדת המאשימה</w:t>
      </w:r>
      <w:r>
        <w:rPr>
          <w:rtl w:val="true"/>
        </w:rPr>
        <w:t xml:space="preserve">, </w:t>
      </w:r>
      <w:r>
        <w:rPr>
          <w:rtl w:val="true"/>
        </w:rPr>
        <w:t>אינן מצביעות על כל נימוק להקלה עימו</w:t>
      </w:r>
      <w:r>
        <w:rPr>
          <w:rtl w:val="true"/>
        </w:rPr>
        <w:t xml:space="preserve">, </w:t>
      </w:r>
      <w:r>
        <w:rPr>
          <w:rtl w:val="true"/>
        </w:rPr>
        <w:t>אלא להיפך</w:t>
      </w:r>
      <w:r>
        <w:rPr>
          <w:rtl w:val="true"/>
        </w:rPr>
        <w:t xml:space="preserve">. </w:t>
      </w:r>
      <w:r>
        <w:rPr>
          <w:rtl w:val="true"/>
        </w:rPr>
        <w:t>הכוונה לעברו הפלילי בעבירות דומות</w:t>
      </w:r>
      <w:r>
        <w:rPr>
          <w:rtl w:val="true"/>
        </w:rPr>
        <w:t xml:space="preserve">, </w:t>
      </w:r>
      <w:r>
        <w:rPr>
          <w:rtl w:val="true"/>
        </w:rPr>
        <w:t>לכך שכנגד הנאשם תלוי ועומד עונש מאסר מותנה שהוטל עליו 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 xml:space="preserve">פ </w:t>
      </w:r>
      <w:r>
        <w:rPr>
          <w:color w:val="000000"/>
        </w:rPr>
        <w:t>2598/05</w:t>
      </w:r>
      <w:r>
        <w:rPr>
          <w:rtl w:val="true"/>
        </w:rPr>
        <w:t xml:space="preserve"> (</w:t>
      </w:r>
      <w:r>
        <w:rPr>
          <w:rtl w:val="true"/>
        </w:rPr>
        <w:t>שלום עכו</w:t>
      </w:r>
      <w:r>
        <w:rPr>
          <w:rtl w:val="true"/>
        </w:rPr>
        <w:t xml:space="preserve">), </w:t>
      </w:r>
      <w:r>
        <w:rPr>
          <w:rtl w:val="true"/>
        </w:rPr>
        <w:t>ולאמור בתסקיר שרות 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 xml:space="preserve">עתרה המאשימה להטיל על הנאשם עונש מאסר ממושך של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בגין עבירות רכוש</w:t>
      </w:r>
      <w:r>
        <w:rPr>
          <w:rtl w:val="true"/>
        </w:rPr>
        <w:t xml:space="preserve">, </w:t>
      </w:r>
      <w:r>
        <w:rPr>
          <w:rtl w:val="true"/>
        </w:rPr>
        <w:t>להורות על הפעלת המאסר המותנה במצטבר</w:t>
      </w:r>
      <w:r>
        <w:rPr>
          <w:rtl w:val="true"/>
        </w:rPr>
        <w:t xml:space="preserve">, </w:t>
      </w:r>
      <w:r>
        <w:rPr>
          <w:rtl w:val="true"/>
        </w:rPr>
        <w:t>ולהטיל תקופת מאסר ארוכה נוספת ומצטברת בגין עבירת הנשק נשוא התיק שצורף</w:t>
      </w:r>
      <w:r>
        <w:rPr>
          <w:rtl w:val="true"/>
        </w:rPr>
        <w:t xml:space="preserve">. </w:t>
      </w:r>
      <w:r>
        <w:rPr>
          <w:rtl w:val="true"/>
        </w:rPr>
        <w:t>כן נתבקש בית המשפט לגזור עונש מאסר מותנה ארוך ומרתיע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פיצוי למתלוננים ופסילה מלקבל או להחזיק רישיון נהיגה לתקופה ממושכת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6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סנגורו של הנאשם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ביקש שלא למצות עימו את 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בטיעוניו</w:t>
      </w:r>
      <w:r>
        <w:rPr>
          <w:rtl w:val="true"/>
        </w:rPr>
        <w:t xml:space="preserve">, </w:t>
      </w:r>
      <w:r>
        <w:rPr>
          <w:rtl w:val="true"/>
        </w:rPr>
        <w:t>עמד ב</w:t>
      </w:r>
      <w:r>
        <w:rPr>
          <w:rtl w:val="true"/>
        </w:rPr>
        <w:t>"</w:t>
      </w:r>
      <w:r>
        <w:rPr>
          <w:rtl w:val="true"/>
        </w:rPr>
        <w:t>כ הנאשם על כך</w:t>
      </w:r>
      <w:r>
        <w:rPr>
          <w:rtl w:val="true"/>
        </w:rPr>
        <w:t xml:space="preserve">, </w:t>
      </w:r>
      <w:r>
        <w:rPr>
          <w:rtl w:val="true"/>
        </w:rPr>
        <w:t>שהנאשם הודה וחסך זמן שיפוטי יקר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הנאשם הודה כבר במשטרה ומסר גרסה מלאה לגבי מי שנטל חלק בביצוע העבירות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לטענת הסניגור</w:t>
      </w:r>
      <w:r>
        <w:rPr>
          <w:rtl w:val="true"/>
        </w:rPr>
        <w:t xml:space="preserve">, </w:t>
      </w:r>
      <w:r>
        <w:rPr>
          <w:rtl w:val="true"/>
        </w:rPr>
        <w:t>לא ניתן לקבל את האמור בתסקיר לעניין קבלת האחריות</w:t>
      </w:r>
      <w:r>
        <w:rPr>
          <w:rtl w:val="true"/>
        </w:rPr>
        <w:t xml:space="preserve">, </w:t>
      </w:r>
      <w:r>
        <w:rPr>
          <w:rtl w:val="true"/>
        </w:rPr>
        <w:t>נוכח התנהגותו של הנאשם</w:t>
      </w:r>
      <w:r>
        <w:rPr>
          <w:rtl w:val="true"/>
        </w:rPr>
        <w:t xml:space="preserve">, </w:t>
      </w:r>
      <w:r>
        <w:rPr>
          <w:rtl w:val="true"/>
        </w:rPr>
        <w:t>שכאמור</w:t>
      </w:r>
      <w:r>
        <w:rPr>
          <w:rtl w:val="true"/>
        </w:rPr>
        <w:t xml:space="preserve">, </w:t>
      </w:r>
      <w:r>
        <w:rPr>
          <w:rtl w:val="true"/>
        </w:rPr>
        <w:t>הודה וקיבל אחריות למעשיו כבר בחקירה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לעניין הפיצויים והקנס</w:t>
      </w:r>
      <w:r>
        <w:rPr>
          <w:rtl w:val="true"/>
        </w:rPr>
        <w:t xml:space="preserve">, </w:t>
      </w:r>
      <w:r>
        <w:rPr>
          <w:rtl w:val="true"/>
        </w:rPr>
        <w:t>נטען כי הנאשם לא ביצע את העבירות לבדו ולא ניתן להטיל עליו את כל הסכומים</w:t>
      </w:r>
      <w:r>
        <w:rPr>
          <w:rtl w:val="true"/>
        </w:rPr>
        <w:t xml:space="preserve">, </w:t>
      </w:r>
      <w:r>
        <w:rPr>
          <w:rtl w:val="true"/>
        </w:rPr>
        <w:t>כאילו אין לו שותפים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עמד על נסיבותיו האישיות של הנאשם</w:t>
      </w:r>
      <w:r>
        <w:rPr>
          <w:rtl w:val="true"/>
        </w:rPr>
        <w:t xml:space="preserve">, </w:t>
      </w:r>
      <w:r>
        <w:rPr>
          <w:rtl w:val="true"/>
        </w:rPr>
        <w:t>היותו מפרנס יחיד</w:t>
      </w:r>
      <w:r>
        <w:rPr>
          <w:rtl w:val="true"/>
        </w:rPr>
        <w:t xml:space="preserve">, </w:t>
      </w:r>
      <w:r>
        <w:rPr>
          <w:rtl w:val="true"/>
        </w:rPr>
        <w:t>אב 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ביקש להטיל עליו עונש מתון</w:t>
      </w:r>
      <w:r>
        <w:rPr>
          <w:rtl w:val="true"/>
        </w:rPr>
        <w:t xml:space="preserve">, </w:t>
      </w:r>
      <w:r>
        <w:rPr>
          <w:rtl w:val="true"/>
        </w:rPr>
        <w:t>שלא יכלול פסילה בפועל</w:t>
      </w:r>
      <w:r>
        <w:rPr>
          <w:rtl w:val="true"/>
        </w:rPr>
        <w:t xml:space="preserve">, </w:t>
      </w:r>
      <w:r>
        <w:rPr>
          <w:rtl w:val="true"/>
        </w:rPr>
        <w:t>בכדי שלא לפגוע בסיכויי פרנסתו ותוך התחשבות במצבו הכלכלי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7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 בדבריו</w:t>
      </w:r>
      <w:r>
        <w:rPr>
          <w:rtl w:val="true"/>
        </w:rPr>
        <w:t xml:space="preserve">, </w:t>
      </w:r>
      <w:r>
        <w:rPr>
          <w:rtl w:val="true"/>
        </w:rPr>
        <w:t>הבהיר כי הוא מבין שעשה טעות</w:t>
      </w:r>
      <w:r>
        <w:rPr>
          <w:rtl w:val="true"/>
        </w:rPr>
        <w:t xml:space="preserve">, </w:t>
      </w:r>
      <w:r>
        <w:rPr>
          <w:rtl w:val="true"/>
        </w:rPr>
        <w:t>הפיק את הלקח וביקש להודות ולקחת אחריות</w:t>
      </w:r>
      <w:r>
        <w:rPr>
          <w:rtl w:val="true"/>
        </w:rPr>
        <w:t xml:space="preserve">. </w:t>
      </w:r>
      <w:r>
        <w:rPr>
          <w:rtl w:val="true"/>
        </w:rPr>
        <w:t>הנאשם טען כי היה מאוים ומאז מעצרו הוא שוהה בתנאי הפרדה</w:t>
      </w:r>
      <w:r>
        <w:rPr>
          <w:rtl w:val="true"/>
        </w:rPr>
        <w:t xml:space="preserve">, </w:t>
      </w:r>
      <w:r>
        <w:rPr>
          <w:rtl w:val="true"/>
        </w:rPr>
        <w:t>הביע נכונות לשלם קנס ולפצות את מי שנפגע כתוצאה ממעשיו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דיון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8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 היה שותף לכנופיה שפעלה בשיטתיות ובתחכום</w:t>
      </w:r>
      <w:r>
        <w:rPr>
          <w:rtl w:val="true"/>
        </w:rPr>
        <w:t xml:space="preserve">, </w:t>
      </w:r>
      <w:r>
        <w:rPr>
          <w:rtl w:val="true"/>
        </w:rPr>
        <w:t>לקבלת ומכירת כלי רכב גנובים</w:t>
      </w:r>
      <w:r>
        <w:rPr>
          <w:rtl w:val="true"/>
        </w:rPr>
        <w:t xml:space="preserve">, </w:t>
      </w:r>
      <w:r>
        <w:rPr>
          <w:rtl w:val="true"/>
        </w:rPr>
        <w:t>תוך הסוואת זהותם האמיתית במטרה למוכרם לאזרחים תמימים או לעשות בהם שימוש לצורך הוצאת כספים במרמה מבנקים</w:t>
      </w:r>
      <w:r>
        <w:rPr>
          <w:rtl w:val="true"/>
        </w:rPr>
        <w:t xml:space="preserve">, </w:t>
      </w:r>
      <w:r>
        <w:rPr>
          <w:rtl w:val="true"/>
        </w:rPr>
        <w:t>באמצעות קבלת הלוואות שלא היה בכוונתם לפרוע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9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 ושותפיו זייפו מסמכים רבים</w:t>
      </w:r>
      <w:r>
        <w:rPr>
          <w:rtl w:val="true"/>
        </w:rPr>
        <w:t xml:space="preserve">, </w:t>
      </w:r>
      <w:r>
        <w:rPr>
          <w:rtl w:val="true"/>
        </w:rPr>
        <w:t>רשיונות</w:t>
      </w:r>
      <w:r>
        <w:rPr>
          <w:rtl w:val="true"/>
        </w:rPr>
        <w:t xml:space="preserve">, </w:t>
      </w:r>
      <w:r>
        <w:rPr>
          <w:rtl w:val="true"/>
        </w:rPr>
        <w:t>תעודות זהות ולוחיות רישוי</w:t>
      </w:r>
      <w:r>
        <w:rPr>
          <w:rtl w:val="true"/>
        </w:rPr>
        <w:t xml:space="preserve">, </w:t>
      </w:r>
      <w:r>
        <w:rPr>
          <w:rtl w:val="true"/>
        </w:rPr>
        <w:t>כדי לקדם את מטרתם</w:t>
      </w:r>
      <w:r>
        <w:rPr>
          <w:rtl w:val="true"/>
        </w:rPr>
        <w:t xml:space="preserve">. </w:t>
      </w:r>
      <w:r>
        <w:rPr>
          <w:rtl w:val="true"/>
        </w:rPr>
        <w:t>באמצעים אלו הגיעו לידיהם במרמה כספים בסכומים גבוהים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לא מיוחסת לנאשם עבירה של גניבת כלי הרכב</w:t>
      </w:r>
      <w:r>
        <w:rPr>
          <w:rtl w:val="true"/>
        </w:rPr>
        <w:t xml:space="preserve">, </w:t>
      </w:r>
      <w:r>
        <w:rPr>
          <w:rtl w:val="true"/>
        </w:rPr>
        <w:t>אולם אין ספק שאת פעילותה של החבורה</w:t>
      </w:r>
      <w:r>
        <w:rPr>
          <w:rtl w:val="true"/>
        </w:rPr>
        <w:t xml:space="preserve">, </w:t>
      </w:r>
      <w:r>
        <w:rPr>
          <w:rtl w:val="true"/>
        </w:rPr>
        <w:t>יש לראות כחלק מתופעה חמורה ונפוצה של גניבת כלי רכב והפקחת רווחים על חשבון אזרחים תמימים והציבור בכללותו משלילת כלי הרכב הנ</w:t>
      </w:r>
      <w:r>
        <w:rPr>
          <w:rtl w:val="true"/>
        </w:rPr>
        <w:t>"</w:t>
      </w:r>
      <w:r>
        <w:rPr>
          <w:rtl w:val="true"/>
        </w:rPr>
        <w:t>ל מבעליהם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10</w:t>
      </w:r>
      <w:r>
        <w:rPr>
          <w:rtl w:val="true"/>
        </w:rPr>
        <w:t>.</w:t>
        <w:tab/>
      </w:r>
      <w:r>
        <w:rPr>
          <w:rtl w:val="true"/>
        </w:rPr>
        <w:t>הנאשם ושותפיו הכפילו את הפגיעה בציבור</w:t>
      </w:r>
      <w:r>
        <w:rPr>
          <w:rtl w:val="true"/>
        </w:rPr>
        <w:t xml:space="preserve">, </w:t>
      </w:r>
      <w:r>
        <w:rPr>
          <w:rtl w:val="true"/>
        </w:rPr>
        <w:t>בכך שלא רק שנגנבו כלי רכב מבעליהם</w:t>
      </w:r>
      <w:r>
        <w:rPr>
          <w:rtl w:val="true"/>
        </w:rPr>
        <w:t xml:space="preserve">, </w:t>
      </w:r>
      <w:r>
        <w:rPr>
          <w:rtl w:val="true"/>
        </w:rPr>
        <w:t>אלא נגרמה פגיעה לבעלי רכב אחרים</w:t>
      </w:r>
      <w:r>
        <w:rPr>
          <w:rtl w:val="true"/>
        </w:rPr>
        <w:t xml:space="preserve">, </w:t>
      </w:r>
      <w:r>
        <w:rPr>
          <w:rtl w:val="true"/>
        </w:rPr>
        <w:t>שרכבם נבחר לשמש כסות לרכב הגנוב</w:t>
      </w:r>
      <w:r>
        <w:rPr>
          <w:rtl w:val="true"/>
        </w:rPr>
        <w:t xml:space="preserve">, </w:t>
      </w:r>
      <w:r>
        <w:rPr>
          <w:rtl w:val="true"/>
        </w:rPr>
        <w:t>וכן נגרמו נזקים לבנקים</w:t>
      </w:r>
      <w:r>
        <w:rPr>
          <w:rtl w:val="true"/>
        </w:rPr>
        <w:t xml:space="preserve">, </w:t>
      </w:r>
      <w:r>
        <w:rPr>
          <w:rtl w:val="true"/>
        </w:rPr>
        <w:t>אשר טעו לחשוב</w:t>
      </w:r>
      <w:r>
        <w:rPr>
          <w:rtl w:val="true"/>
        </w:rPr>
        <w:t xml:space="preserve">, </w:t>
      </w:r>
      <w:r>
        <w:rPr>
          <w:rtl w:val="true"/>
        </w:rPr>
        <w:t>כי קיבלו בטוחה הולמת להלוואות שנתנו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11</w:t>
      </w:r>
      <w:r>
        <w:rPr>
          <w:rtl w:val="true"/>
        </w:rPr>
        <w:t>.</w:t>
        <w:tab/>
      </w:r>
      <w:r>
        <w:rPr>
          <w:rtl w:val="true"/>
        </w:rPr>
        <w:t>גניבת כלי רכב הינה תופעה שבית המשפט העליון קורא לנקוט כנגדה ביד קשה</w:t>
      </w:r>
      <w:r>
        <w:rPr>
          <w:rtl w:val="true"/>
        </w:rPr>
        <w:t xml:space="preserve">, </w:t>
      </w:r>
      <w:r>
        <w:rPr>
          <w:rtl w:val="true"/>
        </w:rPr>
        <w:t>במטרה למגרה</w:t>
      </w:r>
      <w:r>
        <w:rPr>
          <w:rtl w:val="true"/>
        </w:rPr>
        <w:t xml:space="preserve">, </w:t>
      </w:r>
      <w:r>
        <w:rPr>
          <w:rtl w:val="true"/>
        </w:rPr>
        <w:t>כבר למעלה מעשור</w:t>
      </w:r>
      <w:r>
        <w:rPr>
          <w:rtl w:val="true"/>
        </w:rPr>
        <w:t xml:space="preserve">, </w:t>
      </w:r>
      <w:r>
        <w:rPr>
          <w:rtl w:val="true"/>
        </w:rPr>
        <w:t>ודומה כי בשל הרווח הקל הקורץ למבצעיה</w:t>
      </w:r>
      <w:r>
        <w:rPr>
          <w:rtl w:val="true"/>
        </w:rPr>
        <w:t xml:space="preserve">, </w:t>
      </w:r>
      <w:r>
        <w:rPr>
          <w:rtl w:val="true"/>
        </w:rPr>
        <w:t>היא עדיין רווחת ופוגעת קשות בקניינו של הציבור</w:t>
      </w:r>
      <w:r>
        <w:rPr>
          <w:rtl w:val="true"/>
        </w:rPr>
        <w:t xml:space="preserve">, </w:t>
      </w:r>
      <w:r>
        <w:rPr>
          <w:rtl w:val="true"/>
        </w:rPr>
        <w:t>ובתחושת הבטחון שלו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12</w:t>
      </w:r>
      <w:r>
        <w:rPr>
          <w:rtl w:val="true"/>
        </w:rPr>
        <w:t>.</w:t>
        <w:tab/>
      </w:r>
      <w:r>
        <w:rPr>
          <w:rtl w:val="true"/>
        </w:rPr>
        <w:t>המחוקק ייחד סימן בפרק י</w:t>
      </w:r>
      <w:r>
        <w:rPr>
          <w:rtl w:val="true"/>
        </w:rPr>
        <w:t>"</w:t>
      </w:r>
      <w:r>
        <w:rPr>
          <w:rtl w:val="true"/>
        </w:rPr>
        <w:t>א ל</w:t>
      </w:r>
      <w:hyperlink r:id="rId11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סימן ה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לעבירות שבוצעו בקשר לרכב</w:t>
      </w:r>
      <w:r>
        <w:rPr>
          <w:rtl w:val="true"/>
        </w:rPr>
        <w:t xml:space="preserve">, </w:t>
      </w:r>
      <w:r>
        <w:rPr>
          <w:rtl w:val="true"/>
        </w:rPr>
        <w:t>בכללן</w:t>
      </w:r>
      <w:r>
        <w:rPr>
          <w:rtl w:val="true"/>
        </w:rPr>
        <w:t xml:space="preserve">, </w:t>
      </w:r>
      <w:r>
        <w:rPr>
          <w:rtl w:val="true"/>
        </w:rPr>
        <w:t>עבירות בהן הורשע הנאשם כאן במספר הזדמנויות</w:t>
      </w:r>
      <w:r>
        <w:rPr>
          <w:rtl w:val="true"/>
        </w:rPr>
        <w:t xml:space="preserve">, </w:t>
      </w:r>
      <w:r>
        <w:rPr>
          <w:rtl w:val="true"/>
        </w:rPr>
        <w:t>במטרה להחמיר את העונשים הצפויים לעבריינים הנותנים ידם לגניבת כלי רכב והמסחר בהם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684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גניבת רכב הפכה למכת מדינה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והחומרה בה מתיחס המחוקק לעבירה זו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 xml:space="preserve">ולעבירות הנגזרות ממנה או הנילוות אליה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באה לכלל ביטוי מפורש בחקיקתו של סימן ה</w:t>
      </w:r>
      <w:r>
        <w:rPr>
          <w:b/>
          <w:bCs/>
          <w:rtl w:val="true"/>
        </w:rPr>
        <w:t>'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לפרק יא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של </w:t>
      </w:r>
      <w:hyperlink r:id="rId12">
        <w:r>
          <w:rPr>
            <w:rStyle w:val="Hyperlink"/>
            <w:b/>
            <w:b/>
            <w:bCs/>
            <w:rtl w:val="true"/>
          </w:rPr>
          <w:t>חוק העונשין</w:t>
        </w:r>
      </w:hyperlink>
      <w:r>
        <w:rPr>
          <w:b/>
          <w:b/>
          <w:bCs/>
          <w:rtl w:val="true"/>
        </w:rPr>
        <w:t xml:space="preserve"> בשנת התש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בנסיבות הקיימות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 מנוס מהטלת עונשים קשים בשל העבירות האמורות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 מנת לקבוע בהכרת הכל את חומרתן ולקדם בדרך זו את גורם ההרתעה</w:t>
      </w:r>
      <w:r>
        <w:rPr>
          <w:b/>
          <w:bCs/>
          <w:rtl w:val="true"/>
        </w:rPr>
        <w:t>". (</w:t>
      </w:r>
      <w:hyperlink r:id="rId13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</w:rPr>
          <w:t>5724/95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אחמד בן מוחמד אבו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דחל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ראה לעניין זה גם את הדברים שנקבעו ב</w:t>
      </w:r>
      <w:hyperlink r:id="rId14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</w:rPr>
          <w:t>11194/05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עטיה אבו סבית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שם נאמר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1440" w:end="684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440" w:end="684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כל מקרה לנסיבותיו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 המדיניות הכוללת בעבירות גניבת רכב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 כל שכן כשמצטרפות אליהן עבירות נלוות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ואף עבירות הקשורות בסחר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הכרח שתהא מחמירה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למרבה הצער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תופעת גניבות הרכב טרם נעקרה משורש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ומכת המדינה שאליה נדרש בית משפט זה לפני בדיוק עשור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פסק הדין ב</w:t>
      </w:r>
      <w:hyperlink r:id="rId15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</w:rPr>
          <w:t>5724/95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 ב</w:t>
      </w:r>
      <w:r>
        <w:rPr>
          <w:b/>
          <w:bCs/>
          <w:rtl w:val="true"/>
        </w:rPr>
        <w:t>-</w:t>
      </w:r>
      <w:r>
        <w:rPr>
          <w:b/>
          <w:bCs/>
        </w:rPr>
        <w:t>12.5.96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כמעט שהפכה לעשר מכות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היא ממשיכה לנגוס ברכושם של רבים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ופגיעתה רעה כלכלית ואנושית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המעט שבידי בית משפט זה לעשות הוא לחזק את ידיהם של בתי המשפט הדיוניים בראייה מחמירה של העבירות הכרוכות בכך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2"/>
        <w:ind w:hanging="720" w:start="720" w:end="0"/>
        <w:jc w:val="both"/>
        <w:rPr/>
      </w:pPr>
      <w:r>
        <w:rPr>
          <w:b/>
          <w:bCs/>
        </w:rPr>
        <w:t>12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כמפורט לעיל</w:t>
      </w:r>
      <w:r>
        <w:rPr>
          <w:rtl w:val="true"/>
        </w:rPr>
        <w:t xml:space="preserve">, </w:t>
      </w:r>
      <w:r>
        <w:rPr>
          <w:rtl w:val="true"/>
        </w:rPr>
        <w:t>נתן ידו לקידום הקשר הפסול במס</w:t>
      </w:r>
      <w:r>
        <w:rPr>
          <w:rtl w:val="true"/>
        </w:rPr>
        <w:t xml:space="preserve">' </w:t>
      </w:r>
      <w:r>
        <w:rPr>
          <w:rtl w:val="true"/>
        </w:rPr>
        <w:t>הזדמנויות</w:t>
      </w:r>
      <w:r>
        <w:rPr>
          <w:rtl w:val="true"/>
        </w:rPr>
        <w:t xml:space="preserve">. </w:t>
      </w:r>
      <w:r>
        <w:rPr>
          <w:rtl w:val="true"/>
        </w:rPr>
        <w:t>מעבר לכך</w:t>
      </w:r>
      <w:r>
        <w:rPr>
          <w:rtl w:val="true"/>
        </w:rPr>
        <w:t xml:space="preserve">, </w:t>
      </w:r>
      <w:r>
        <w:rPr>
          <w:rtl w:val="true"/>
        </w:rPr>
        <w:t>אין המדובר במעידתו הראשונה בתחום המרמה והזיוף</w:t>
      </w:r>
      <w:r>
        <w:rPr>
          <w:rtl w:val="true"/>
        </w:rPr>
        <w:t xml:space="preserve">. </w:t>
      </w:r>
      <w:r>
        <w:rPr>
          <w:rtl w:val="true"/>
        </w:rPr>
        <w:t>בעברו אמנם אין הרשעות רבות</w:t>
      </w:r>
      <w:r>
        <w:rPr>
          <w:rtl w:val="true"/>
        </w:rPr>
        <w:t xml:space="preserve">, </w:t>
      </w:r>
      <w:r>
        <w:rPr>
          <w:rtl w:val="true"/>
        </w:rPr>
        <w:t>אך אלה מתייחסות לשימוש במסמך מזויף</w:t>
      </w:r>
      <w:r>
        <w:rPr>
          <w:rtl w:val="true"/>
        </w:rPr>
        <w:t xml:space="preserve">, </w:t>
      </w:r>
      <w:r>
        <w:rPr>
          <w:rtl w:val="true"/>
        </w:rPr>
        <w:t>זיוף וקבלת דבר במרמה</w:t>
      </w:r>
      <w:r>
        <w:rPr>
          <w:rtl w:val="true"/>
        </w:rPr>
        <w:t xml:space="preserve">, </w:t>
      </w:r>
      <w:r>
        <w:rPr>
          <w:rtl w:val="true"/>
        </w:rPr>
        <w:t>עבירות אותן ביצע בשתי הרשעותיו הקודמות</w:t>
      </w:r>
      <w:r>
        <w:rPr>
          <w:rtl w:val="true"/>
        </w:rPr>
        <w:t xml:space="preserve">. </w:t>
      </w:r>
    </w:p>
    <w:p>
      <w:pPr>
        <w:pStyle w:val="BodyText2"/>
        <w:ind w:end="0"/>
        <w:jc w:val="both"/>
        <w:rPr/>
      </w:pPr>
      <w:r>
        <w:rPr>
          <w:rtl w:val="true"/>
        </w:rPr>
      </w:r>
    </w:p>
    <w:p>
      <w:pPr>
        <w:pStyle w:val="BodyText2"/>
        <w:ind w:hanging="720" w:start="720" w:end="0"/>
        <w:jc w:val="both"/>
        <w:rPr/>
      </w:pPr>
      <w:r>
        <w:rPr>
          <w:b/>
          <w:bCs/>
        </w:rPr>
        <w:t>13</w:t>
      </w:r>
      <w:r>
        <w:rPr>
          <w:rtl w:val="true"/>
        </w:rPr>
        <w:t>.</w:t>
        <w:tab/>
      </w:r>
      <w:r>
        <w:rPr>
          <w:rtl w:val="true"/>
        </w:rPr>
        <w:t xml:space="preserve">ביום </w:t>
      </w:r>
      <w:r>
        <w:rPr/>
        <w:t>14/11/06</w:t>
      </w:r>
      <w:r>
        <w:rPr>
          <w:rtl w:val="true"/>
        </w:rPr>
        <w:t xml:space="preserve"> </w:t>
      </w:r>
      <w:r>
        <w:rPr>
          <w:rtl w:val="true"/>
        </w:rPr>
        <w:t xml:space="preserve">נגזר דינו של הנאשם במסגרת 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. </w:t>
      </w:r>
      <w:r>
        <w:rPr>
          <w:color w:val="000000"/>
        </w:rPr>
        <w:t>2598/05</w:t>
      </w:r>
      <w:r>
        <w:rPr>
          <w:rtl w:val="true"/>
        </w:rPr>
        <w:t xml:space="preserve"> (</w:t>
      </w:r>
      <w:r>
        <w:rPr>
          <w:rtl w:val="true"/>
        </w:rPr>
        <w:t>שלום עכו</w:t>
      </w:r>
      <w:r>
        <w:rPr>
          <w:rtl w:val="true"/>
        </w:rPr>
        <w:t xml:space="preserve">), </w:t>
      </w:r>
      <w:r>
        <w:rPr>
          <w:rtl w:val="true"/>
        </w:rPr>
        <w:t>ובית המשפט אימץ שם הסדר שהושג בין הנאשם ובין התביעה</w:t>
      </w:r>
      <w:r>
        <w:rPr>
          <w:rtl w:val="true"/>
        </w:rPr>
        <w:t xml:space="preserve">, </w:t>
      </w:r>
      <w:r>
        <w:rPr>
          <w:rtl w:val="true"/>
        </w:rPr>
        <w:t>אשר כלל ענישה מקלה</w:t>
      </w:r>
      <w:r>
        <w:rPr>
          <w:rtl w:val="true"/>
        </w:rPr>
        <w:t xml:space="preserve">, </w:t>
      </w:r>
      <w:r>
        <w:rPr>
          <w:rtl w:val="true"/>
        </w:rPr>
        <w:t>תוך הטלת מאסר מותנה</w:t>
      </w:r>
      <w:r>
        <w:rPr>
          <w:rtl w:val="true"/>
        </w:rPr>
        <w:t xml:space="preserve">, </w:t>
      </w:r>
      <w:r>
        <w:rPr>
          <w:rtl w:val="true"/>
        </w:rPr>
        <w:t xml:space="preserve">לתקופה של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שהינו בר הפעלה</w:t>
      </w:r>
      <w:r>
        <w:rPr>
          <w:rtl w:val="true"/>
        </w:rPr>
        <w:t xml:space="preserve">. </w:t>
      </w:r>
    </w:p>
    <w:p>
      <w:pPr>
        <w:pStyle w:val="BodyText2"/>
        <w:ind w:end="0"/>
        <w:jc w:val="both"/>
        <w:rPr/>
      </w:pPr>
      <w:r>
        <w:rPr>
          <w:rtl w:val="true"/>
        </w:rPr>
      </w:r>
    </w:p>
    <w:p>
      <w:pPr>
        <w:pStyle w:val="BodyText2"/>
        <w:ind w:start="720" w:end="0"/>
        <w:jc w:val="both"/>
        <w:rPr/>
      </w:pPr>
      <w:r>
        <w:rPr>
          <w:rtl w:val="true"/>
        </w:rPr>
        <w:t>אף שם הודה הנאשם מיד בהזדמנות הראשונה</w:t>
      </w:r>
      <w:r>
        <w:rPr>
          <w:rtl w:val="true"/>
        </w:rPr>
        <w:t xml:space="preserve">, </w:t>
      </w:r>
      <w:r>
        <w:rPr>
          <w:rtl w:val="true"/>
        </w:rPr>
        <w:t>הדגיש את נסיבות חייו ומצבו הכלכלי</w:t>
      </w:r>
      <w:r>
        <w:rPr>
          <w:rtl w:val="true"/>
        </w:rPr>
        <w:t xml:space="preserve">, </w:t>
      </w:r>
      <w:r>
        <w:rPr>
          <w:rtl w:val="true"/>
        </w:rPr>
        <w:t>ולמרות שבית המשפט הטיל עליו עונש צופה פני עתיד</w:t>
      </w:r>
      <w:r>
        <w:rPr>
          <w:rtl w:val="true"/>
        </w:rPr>
        <w:t xml:space="preserve">, </w:t>
      </w:r>
      <w:r>
        <w:rPr>
          <w:rtl w:val="true"/>
        </w:rPr>
        <w:t>לא למד את הלקח הנדרש ולא נרתע מלחזור על מעשיו</w:t>
      </w:r>
      <w:r>
        <w:rPr>
          <w:rtl w:val="true"/>
        </w:rPr>
        <w:t xml:space="preserve">, </w:t>
      </w:r>
      <w:r>
        <w:rPr>
          <w:rtl w:val="true"/>
        </w:rPr>
        <w:t>כאשר המאסר המותנה תלוי ועומד כנגדו</w:t>
      </w:r>
      <w:r>
        <w:rPr>
          <w:rtl w:val="true"/>
        </w:rPr>
        <w:t xml:space="preserve">. </w:t>
      </w:r>
    </w:p>
    <w:p>
      <w:pPr>
        <w:pStyle w:val="BodyText2"/>
        <w:ind w:end="0"/>
        <w:jc w:val="both"/>
        <w:rPr/>
      </w:pPr>
      <w:r>
        <w:rPr>
          <w:rtl w:val="true"/>
        </w:rPr>
      </w:r>
    </w:p>
    <w:p>
      <w:pPr>
        <w:pStyle w:val="BodyText2"/>
        <w:ind w:hanging="720" w:start="720" w:end="0"/>
        <w:jc w:val="both"/>
        <w:rPr/>
      </w:pPr>
      <w:r>
        <w:rPr>
          <w:b/>
          <w:bCs/>
        </w:rPr>
        <w:t>14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הודה באישום נוסף שצירף לבקשתו</w:t>
      </w:r>
      <w:r>
        <w:rPr>
          <w:rtl w:val="true"/>
        </w:rPr>
        <w:t xml:space="preserve">, </w:t>
      </w:r>
      <w:r>
        <w:rPr>
          <w:rtl w:val="true"/>
        </w:rPr>
        <w:t>שאף הוא חמור בפני עצמו</w:t>
      </w:r>
      <w:r>
        <w:rPr>
          <w:rtl w:val="true"/>
        </w:rPr>
        <w:t xml:space="preserve">, </w:t>
      </w:r>
      <w:r>
        <w:rPr>
          <w:rtl w:val="true"/>
        </w:rPr>
        <w:t>ונוגע להחזקת נשק טעון</w:t>
      </w:r>
      <w:r>
        <w:rPr>
          <w:rtl w:val="true"/>
        </w:rPr>
        <w:t xml:space="preserve">. </w:t>
      </w:r>
      <w:r>
        <w:rPr>
          <w:rtl w:val="true"/>
        </w:rPr>
        <w:t>בעניין זה</w:t>
      </w:r>
      <w:r>
        <w:rPr>
          <w:rtl w:val="true"/>
        </w:rPr>
        <w:t xml:space="preserve">, </w:t>
      </w:r>
      <w:r>
        <w:rPr>
          <w:rtl w:val="true"/>
        </w:rPr>
        <w:t>נתתי דעתי לטענות הנאשם כי היה מאויים באותה עת מצד גורמים מהם לווה כסף</w:t>
      </w:r>
      <w:r>
        <w:rPr>
          <w:rtl w:val="true"/>
        </w:rPr>
        <w:t xml:space="preserve">, </w:t>
      </w:r>
      <w:r>
        <w:rPr>
          <w:rtl w:val="true"/>
        </w:rPr>
        <w:t>כשיקול שלא למצות עימו את הדין</w:t>
      </w:r>
      <w:r>
        <w:rPr>
          <w:rtl w:val="true"/>
        </w:rPr>
        <w:t xml:space="preserve">, </w:t>
      </w:r>
      <w:r>
        <w:rPr>
          <w:rtl w:val="true"/>
        </w:rPr>
        <w:t>בגין עבירה זו</w:t>
      </w:r>
      <w:r>
        <w:rPr>
          <w:rtl w:val="true"/>
        </w:rPr>
        <w:t xml:space="preserve">. </w:t>
      </w:r>
    </w:p>
    <w:p>
      <w:pPr>
        <w:pStyle w:val="BodyText2"/>
        <w:ind w:end="0"/>
        <w:jc w:val="both"/>
        <w:rPr/>
      </w:pPr>
      <w:r>
        <w:rPr>
          <w:rtl w:val="true"/>
        </w:rPr>
      </w:r>
    </w:p>
    <w:p>
      <w:pPr>
        <w:pStyle w:val="BodyText2"/>
        <w:ind w:hanging="720" w:start="720" w:end="0"/>
        <w:jc w:val="both"/>
        <w:rPr/>
      </w:pPr>
      <w:r>
        <w:rPr>
          <w:b/>
          <w:bCs/>
        </w:rPr>
        <w:t>15</w:t>
      </w:r>
      <w:r>
        <w:rPr>
          <w:rtl w:val="true"/>
        </w:rPr>
        <w:t>.</w:t>
        <w:tab/>
      </w:r>
      <w:r>
        <w:rPr>
          <w:rtl w:val="true"/>
        </w:rPr>
        <w:t>תסקיר שרות המבחן מפרט את הרקע המשפחתי והנסיבות האישיות של הנאשם</w:t>
      </w:r>
      <w:r>
        <w:rPr>
          <w:rtl w:val="true"/>
        </w:rPr>
        <w:t xml:space="preserve">, </w:t>
      </w:r>
      <w:r>
        <w:rPr>
          <w:rtl w:val="true"/>
        </w:rPr>
        <w:t>לרבות העובדה כי הוא נפגע בעבר בידו בתאונת עבודה</w:t>
      </w:r>
      <w:r>
        <w:rPr>
          <w:rtl w:val="true"/>
        </w:rPr>
        <w:t xml:space="preserve">, </w:t>
      </w:r>
      <w:r>
        <w:rPr>
          <w:rtl w:val="true"/>
        </w:rPr>
        <w:t xml:space="preserve">הוכר כנכה בשיעור </w:t>
      </w:r>
      <w:r>
        <w:rPr/>
        <w:t>21%</w:t>
      </w:r>
      <w:r>
        <w:rPr>
          <w:rtl w:val="true"/>
        </w:rPr>
        <w:t xml:space="preserve"> </w:t>
      </w:r>
      <w:r>
        <w:rPr>
          <w:rtl w:val="true"/>
        </w:rPr>
        <w:t>על ידי המל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נכות שאיננה מקנה לו קצבה</w:t>
      </w:r>
      <w:r>
        <w:rPr>
          <w:rtl w:val="true"/>
        </w:rPr>
        <w:t xml:space="preserve">. </w:t>
      </w:r>
      <w:r>
        <w:rPr>
          <w:rtl w:val="true"/>
        </w:rPr>
        <w:t>בעבר עסק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כקבלן משנה בחברת גבייה</w:t>
      </w:r>
      <w:r>
        <w:rPr>
          <w:rtl w:val="true"/>
        </w:rPr>
        <w:t xml:space="preserve">, </w:t>
      </w:r>
      <w:r>
        <w:rPr>
          <w:rtl w:val="true"/>
        </w:rPr>
        <w:t xml:space="preserve">הוא נקלע לחובות גבוהים ומאז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איננו עובד</w:t>
      </w:r>
      <w:r>
        <w:rPr>
          <w:rtl w:val="true"/>
        </w:rPr>
        <w:t xml:space="preserve">, </w:t>
      </w:r>
      <w:r>
        <w:rPr>
          <w:rtl w:val="true"/>
        </w:rPr>
        <w:t>משפחתו נתמכת על ידי המל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BodyText2"/>
        <w:ind w:end="0"/>
        <w:jc w:val="both"/>
        <w:rPr/>
      </w:pPr>
      <w:r>
        <w:rPr>
          <w:rtl w:val="true"/>
        </w:rPr>
      </w:r>
    </w:p>
    <w:p>
      <w:pPr>
        <w:pStyle w:val="BodyText2"/>
        <w:ind w:start="720" w:end="0"/>
        <w:jc w:val="both"/>
        <w:rPr/>
      </w:pPr>
      <w:r>
        <w:rPr>
          <w:rtl w:val="true"/>
        </w:rPr>
        <w:t>ביחס לעבירות</w:t>
      </w:r>
      <w:r>
        <w:rPr>
          <w:rtl w:val="true"/>
        </w:rPr>
        <w:t xml:space="preserve">, </w:t>
      </w:r>
      <w:r>
        <w:rPr>
          <w:rtl w:val="true"/>
        </w:rPr>
        <w:t xml:space="preserve">קיבל הנאשם אחריות </w:t>
      </w:r>
      <w:r>
        <w:rPr>
          <w:b/>
          <w:b/>
          <w:bCs/>
          <w:rtl w:val="true"/>
        </w:rPr>
        <w:t>מילולית</w:t>
      </w:r>
      <w:r>
        <w:rPr>
          <w:rtl w:val="true"/>
        </w:rPr>
        <w:t xml:space="preserve"> לביצוען</w:t>
      </w:r>
      <w:r>
        <w:rPr>
          <w:rtl w:val="true"/>
        </w:rPr>
        <w:t xml:space="preserve">, </w:t>
      </w:r>
      <w:r>
        <w:rPr>
          <w:rtl w:val="true"/>
        </w:rPr>
        <w:t xml:space="preserve">והסביר כי היו לו סיבות </w:t>
      </w:r>
      <w:r>
        <w:rPr>
          <w:rtl w:val="true"/>
        </w:rPr>
        <w:t>"</w:t>
      </w:r>
      <w:r>
        <w:rPr>
          <w:rtl w:val="true"/>
        </w:rPr>
        <w:t>מוצדקות</w:t>
      </w:r>
      <w:r>
        <w:rPr>
          <w:rtl w:val="true"/>
        </w:rPr>
        <w:t xml:space="preserve">" </w:t>
      </w:r>
      <w:r>
        <w:rPr>
          <w:rtl w:val="true"/>
        </w:rPr>
        <w:t>לבצען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מאחר והיה מאוים על ידי אנשים מהם לווה כספים בשוק האפור</w:t>
      </w:r>
      <w:r>
        <w:rPr>
          <w:rtl w:val="true"/>
        </w:rPr>
        <w:t xml:space="preserve">. </w:t>
      </w:r>
    </w:p>
    <w:p>
      <w:pPr>
        <w:pStyle w:val="BodyText2"/>
        <w:ind w:end="0"/>
        <w:jc w:val="both"/>
        <w:rPr/>
      </w:pPr>
      <w:r>
        <w:rPr>
          <w:rtl w:val="true"/>
        </w:rPr>
      </w:r>
    </w:p>
    <w:p>
      <w:pPr>
        <w:pStyle w:val="BodyText2"/>
        <w:ind w:start="720" w:end="0"/>
        <w:jc w:val="both"/>
        <w:rPr/>
      </w:pPr>
      <w:r>
        <w:rPr>
          <w:rtl w:val="true"/>
        </w:rPr>
        <w:t>שרות המבחן התרשם</w:t>
      </w:r>
      <w:r>
        <w:rPr>
          <w:rtl w:val="true"/>
        </w:rPr>
        <w:t xml:space="preserve">, </w:t>
      </w:r>
      <w:r>
        <w:rPr>
          <w:rtl w:val="true"/>
        </w:rPr>
        <w:t>כי הנאשם עשה מינימלזיציה של חומרת המעשים</w:t>
      </w:r>
      <w:r>
        <w:rPr>
          <w:rtl w:val="true"/>
        </w:rPr>
        <w:t xml:space="preserve">, </w:t>
      </w:r>
      <w:r>
        <w:rPr>
          <w:rtl w:val="true"/>
        </w:rPr>
        <w:t>משליך את המניעים להם על רקע מוקדי שליטה חיצוניים</w:t>
      </w:r>
      <w:r>
        <w:rPr>
          <w:rtl w:val="true"/>
        </w:rPr>
        <w:t xml:space="preserve">, </w:t>
      </w:r>
      <w:r>
        <w:rPr>
          <w:rtl w:val="true"/>
        </w:rPr>
        <w:t>ואיננו מגלה צער וחרטה</w:t>
      </w:r>
      <w:r>
        <w:rPr>
          <w:rtl w:val="true"/>
        </w:rPr>
        <w:t xml:space="preserve">; </w:t>
      </w:r>
      <w:r>
        <w:rPr>
          <w:rtl w:val="true"/>
        </w:rPr>
        <w:t>אי לכך</w:t>
      </w:r>
      <w:r>
        <w:rPr>
          <w:rtl w:val="true"/>
        </w:rPr>
        <w:t xml:space="preserve">, </w:t>
      </w:r>
      <w:r>
        <w:rPr>
          <w:rtl w:val="true"/>
        </w:rPr>
        <w:t>לא בא שרות המבחן בכל המלצה טיפולית לגביו והמליץ להטיל עליו ענישה הרתעתית שתחדד עבורו את הגבולות</w:t>
      </w:r>
      <w:r>
        <w:rPr>
          <w:rtl w:val="true"/>
        </w:rPr>
        <w:t xml:space="preserve">. </w:t>
      </w:r>
    </w:p>
    <w:p>
      <w:pPr>
        <w:pStyle w:val="BodyText2"/>
        <w:ind w:end="0"/>
        <w:jc w:val="both"/>
        <w:rPr/>
      </w:pPr>
      <w:r>
        <w:rPr>
          <w:rtl w:val="true"/>
        </w:rPr>
      </w:r>
    </w:p>
    <w:p>
      <w:pPr>
        <w:pStyle w:val="BodyText2"/>
        <w:ind w:start="720" w:end="0"/>
        <w:jc w:val="both"/>
        <w:rPr/>
      </w:pPr>
      <w:r>
        <w:rPr>
          <w:rtl w:val="true"/>
        </w:rPr>
        <w:t>מדברים אלו</w:t>
      </w:r>
      <w:r>
        <w:rPr>
          <w:rtl w:val="true"/>
        </w:rPr>
        <w:t xml:space="preserve">, </w:t>
      </w:r>
      <w:r>
        <w:rPr>
          <w:rtl w:val="true"/>
        </w:rPr>
        <w:t>עולה בבירור</w:t>
      </w:r>
      <w:r>
        <w:rPr>
          <w:rtl w:val="true"/>
        </w:rPr>
        <w:t xml:space="preserve">, </w:t>
      </w:r>
      <w:r>
        <w:rPr>
          <w:rtl w:val="true"/>
        </w:rPr>
        <w:t>כי אף שהנאשם הודה במשטרה ובפני בית המשפט</w:t>
      </w:r>
      <w:r>
        <w:rPr>
          <w:rtl w:val="true"/>
        </w:rPr>
        <w:t xml:space="preserve">, </w:t>
      </w:r>
      <w:r>
        <w:rPr>
          <w:rtl w:val="true"/>
        </w:rPr>
        <w:t>אין סתירה בין האמור לבין התרשמות שרות המבחן באשר להפנמת החומרה ואי לקיחת אחריות ממשית להסתבכותו</w:t>
      </w:r>
      <w:r>
        <w:rPr>
          <w:rtl w:val="true"/>
        </w:rPr>
        <w:t xml:space="preserve">. </w:t>
      </w:r>
    </w:p>
    <w:p>
      <w:pPr>
        <w:pStyle w:val="BodyText2"/>
        <w:ind w:end="0"/>
        <w:jc w:val="both"/>
        <w:rPr/>
      </w:pPr>
      <w:r>
        <w:rPr>
          <w:rtl w:val="true"/>
        </w:rPr>
      </w:r>
    </w:p>
    <w:p>
      <w:pPr>
        <w:pStyle w:val="BodyText2"/>
        <w:ind w:hanging="720" w:start="720" w:end="0"/>
        <w:jc w:val="both"/>
        <w:rPr/>
      </w:pPr>
      <w:r>
        <w:rPr>
          <w:b/>
          <w:bCs/>
        </w:rPr>
        <w:t>16</w:t>
      </w:r>
      <w:r>
        <w:rPr>
          <w:rtl w:val="true"/>
        </w:rPr>
        <w:t>.</w:t>
        <w:tab/>
      </w:r>
      <w:r>
        <w:rPr>
          <w:rtl w:val="true"/>
        </w:rPr>
        <w:t>לאחר ששקלתי את טיעוני הצדדים ונתתי דעתי להודאתו של הנאשם</w:t>
      </w:r>
      <w:r>
        <w:rPr>
          <w:rtl w:val="true"/>
        </w:rPr>
        <w:t xml:space="preserve">, </w:t>
      </w:r>
      <w:r>
        <w:rPr>
          <w:rtl w:val="true"/>
        </w:rPr>
        <w:t>אשר חסכה בזמן שיפוטי</w:t>
      </w:r>
      <w:r>
        <w:rPr>
          <w:rtl w:val="true"/>
        </w:rPr>
        <w:t xml:space="preserve">, </w:t>
      </w:r>
      <w:r>
        <w:rPr>
          <w:rtl w:val="true"/>
        </w:rPr>
        <w:t xml:space="preserve">כמו גם את העובדה שבחקירתו שיתף פעולה ותרם לחשיפת פרטי הפרשה </w:t>
      </w:r>
      <w:r>
        <w:rPr>
          <w:rtl w:val="true"/>
        </w:rPr>
        <w:t>(</w:t>
      </w:r>
      <w:r>
        <w:rPr>
          <w:rtl w:val="true"/>
        </w:rPr>
        <w:t>גם אם לא גילה נכונות מלאה להעיד כנגד שותפיו</w:t>
      </w:r>
      <w:r>
        <w:rPr>
          <w:rtl w:val="true"/>
        </w:rPr>
        <w:t xml:space="preserve">), </w:t>
      </w:r>
      <w:r>
        <w:rPr>
          <w:rtl w:val="true"/>
        </w:rPr>
        <w:t>אני גוזרת על הנאשם את העונשים הבאים</w:t>
      </w:r>
      <w:r>
        <w:rPr>
          <w:rtl w:val="true"/>
        </w:rPr>
        <w:t xml:space="preserve">: </w:t>
      </w:r>
    </w:p>
    <w:p>
      <w:pPr>
        <w:pStyle w:val="BodyText2"/>
        <w:ind w:end="0"/>
        <w:jc w:val="both"/>
        <w:rPr/>
      </w:pPr>
      <w:r>
        <w:rPr>
          <w:rtl w:val="true"/>
        </w:rPr>
      </w:r>
    </w:p>
    <w:p>
      <w:pPr>
        <w:pStyle w:val="BodyText2"/>
        <w:ind w:firstLine="72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  <w:tab/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שימנו מיום מעצרו </w:t>
      </w:r>
      <w:r>
        <w:rPr>
          <w:rtl w:val="true"/>
        </w:rPr>
        <w:t xml:space="preserve">- </w:t>
      </w:r>
      <w:r>
        <w:rPr>
          <w:b/>
          <w:bCs/>
        </w:rPr>
        <w:t>14/09/09</w:t>
      </w:r>
      <w:r>
        <w:rPr>
          <w:rtl w:val="true"/>
        </w:rPr>
        <w:t xml:space="preserve">. </w:t>
      </w:r>
    </w:p>
    <w:p>
      <w:pPr>
        <w:pStyle w:val="BodyText2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2"/>
        <w:ind w:hanging="720" w:start="144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אני מורה על הפעלת המאסר המותנה בן ה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 שהושת על הנאשם 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. </w:t>
      </w:r>
      <w:r>
        <w:rPr>
          <w:color w:val="000000"/>
        </w:rPr>
        <w:t>2598/05</w:t>
      </w:r>
      <w:r>
        <w:rPr>
          <w:rtl w:val="true"/>
        </w:rPr>
        <w:t xml:space="preserve"> (</w:t>
      </w:r>
      <w:r>
        <w:rPr>
          <w:rtl w:val="true"/>
        </w:rPr>
        <w:t>שלום עכו</w:t>
      </w:r>
      <w:r>
        <w:rPr>
          <w:rtl w:val="true"/>
        </w:rPr>
        <w:t xml:space="preserve">), </w:t>
      </w:r>
      <w:r>
        <w:rPr>
          <w:rtl w:val="true"/>
        </w:rPr>
        <w:t>במצטבר לעונש שהוטל לעיל</w:t>
      </w:r>
      <w:r>
        <w:rPr>
          <w:rtl w:val="true"/>
        </w:rPr>
        <w:t xml:space="preserve">. </w:t>
      </w:r>
    </w:p>
    <w:p>
      <w:pPr>
        <w:pStyle w:val="BodyText2"/>
        <w:ind w:hanging="720" w:start="720" w:end="0"/>
        <w:jc w:val="both"/>
        <w:rPr/>
      </w:pPr>
      <w:r>
        <w:rPr>
          <w:rtl w:val="true"/>
        </w:rPr>
        <w:tab/>
        <w:tab/>
      </w:r>
      <w:r>
        <w:rPr>
          <w:b/>
          <w:b/>
          <w:bCs/>
          <w:rtl w:val="true"/>
        </w:rPr>
        <w:t>סה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כ ירצה הנאשם </w:t>
      </w:r>
      <w:r>
        <w:rPr>
          <w:b/>
          <w:bCs/>
        </w:rPr>
        <w:t>70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b/>
          <w:bCs/>
          <w:rtl w:val="true"/>
        </w:rPr>
        <w:t xml:space="preserve">. </w:t>
      </w:r>
    </w:p>
    <w:p>
      <w:pPr>
        <w:pStyle w:val="BodyText2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2"/>
        <w:ind w:hanging="720" w:start="144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והתנאי הוא שלא יבצע במהלך תקופה זו עבירת רכוש מסוג פשע</w:t>
      </w:r>
      <w:r>
        <w:rPr>
          <w:rtl w:val="true"/>
        </w:rPr>
        <w:t xml:space="preserve">. </w:t>
      </w:r>
    </w:p>
    <w:p>
      <w:pPr>
        <w:pStyle w:val="BodyText2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2"/>
        <w:ind w:start="720" w:end="0"/>
        <w:jc w:val="both"/>
        <w:rPr/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קנס בסך </w:t>
      </w:r>
      <w:r>
        <w:rPr/>
        <w:t>20,000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 מאסר כנגדו</w:t>
      </w:r>
      <w:r>
        <w:rPr>
          <w:rtl w:val="true"/>
        </w:rPr>
        <w:t xml:space="preserve">. </w:t>
      </w:r>
    </w:p>
    <w:p>
      <w:pPr>
        <w:pStyle w:val="BodyText2"/>
        <w:ind w:start="1440" w:end="0"/>
        <w:jc w:val="both"/>
        <w:rPr/>
      </w:pPr>
      <w:r>
        <w:rPr>
          <w:rtl w:val="true"/>
        </w:rPr>
        <w:t>הקנס ישולם ב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tl w:val="true"/>
        </w:rPr>
        <w:t xml:space="preserve">,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שווים ורצופים</w:t>
      </w:r>
      <w:r>
        <w:rPr>
          <w:rtl w:val="true"/>
        </w:rPr>
        <w:t xml:space="preserve">, </w:t>
      </w:r>
      <w:r>
        <w:rPr>
          <w:rtl w:val="true"/>
        </w:rPr>
        <w:t xml:space="preserve">החל מיום </w:t>
      </w:r>
      <w:r>
        <w:rPr>
          <w:b/>
          <w:bCs/>
        </w:rPr>
        <w:t>01/12/10</w:t>
      </w:r>
      <w:r>
        <w:rPr>
          <w:b/>
          <w:bCs/>
          <w:rtl w:val="true"/>
        </w:rPr>
        <w:t xml:space="preserve"> </w:t>
      </w:r>
      <w:r>
        <w:rPr>
          <w:rtl w:val="true"/>
        </w:rPr>
        <w:t>ובכל ראשון לחודש שלאחריו</w:t>
      </w:r>
      <w:r>
        <w:rPr>
          <w:rtl w:val="true"/>
        </w:rPr>
        <w:t xml:space="preserve">. </w:t>
      </w:r>
    </w:p>
    <w:p>
      <w:pPr>
        <w:pStyle w:val="BodyText2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2"/>
        <w:ind w:start="720" w:end="0"/>
        <w:jc w:val="both"/>
        <w:rPr/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פסילה בפועל מלקבל או להחזיק רישיון נהיגה למשך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BodyText2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2"/>
        <w:ind w:hanging="720" w:start="1440" w:end="0"/>
        <w:jc w:val="both"/>
        <w:rPr/>
      </w:pP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 ישלם לכל אחד מן המתלוננים שרכבם נגנב</w:t>
      </w:r>
      <w:r>
        <w:rPr>
          <w:rtl w:val="true"/>
        </w:rPr>
        <w:t xml:space="preserve">, </w:t>
      </w:r>
      <w:r>
        <w:rPr>
          <w:rtl w:val="true"/>
        </w:rPr>
        <w:t xml:space="preserve">סך של </w:t>
      </w:r>
      <w:r>
        <w:rPr/>
        <w:t>20,000</w:t>
      </w:r>
      <w:r>
        <w:rPr>
          <w:rtl w:val="true"/>
        </w:rPr>
        <w:t xml:space="preserve"> ₪, </w:t>
      </w:r>
      <w:r>
        <w:rPr>
          <w:rtl w:val="true"/>
        </w:rPr>
        <w:t>ואם פוצו על ידי חברת הביטוח</w:t>
      </w:r>
      <w:r>
        <w:rPr>
          <w:rtl w:val="true"/>
        </w:rPr>
        <w:t xml:space="preserve">, </w:t>
      </w:r>
      <w:r>
        <w:rPr>
          <w:rtl w:val="true"/>
        </w:rPr>
        <w:t>ישולם הסכום למבטחת</w:t>
      </w:r>
      <w:r>
        <w:rPr>
          <w:rtl w:val="true"/>
        </w:rPr>
        <w:t xml:space="preserve">. </w:t>
      </w:r>
    </w:p>
    <w:p>
      <w:pPr>
        <w:pStyle w:val="BodyText2"/>
        <w:ind w:start="1440" w:end="0"/>
        <w:jc w:val="both"/>
        <w:rPr/>
      </w:pPr>
      <w:r>
        <w:rPr>
          <w:rtl w:val="true"/>
        </w:rPr>
      </w:r>
    </w:p>
    <w:p>
      <w:pPr>
        <w:pStyle w:val="BodyText2"/>
        <w:ind w:start="1440" w:end="0"/>
        <w:jc w:val="both"/>
        <w:rPr/>
      </w:pPr>
      <w:r>
        <w:rPr>
          <w:rtl w:val="true"/>
        </w:rPr>
        <w:t>הנאשם יפצה כל אחד מבעלי הרכבים שזהותם שוכפלה</w:t>
      </w:r>
      <w:r>
        <w:rPr>
          <w:rtl w:val="true"/>
        </w:rPr>
        <w:t xml:space="preserve">, </w:t>
      </w:r>
      <w:r>
        <w:rPr>
          <w:rtl w:val="true"/>
        </w:rPr>
        <w:t>ושמם מפורט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בסך של </w:t>
      </w:r>
      <w:r>
        <w:rPr/>
        <w:t>2,000</w:t>
      </w:r>
      <w:r>
        <w:rPr>
          <w:rtl w:val="true"/>
        </w:rPr>
        <w:t xml:space="preserve"> ₪. </w:t>
      </w:r>
    </w:p>
    <w:p>
      <w:pPr>
        <w:pStyle w:val="BodyText2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2"/>
        <w:ind w:start="1440" w:end="0"/>
        <w:jc w:val="both"/>
        <w:rPr/>
      </w:pPr>
      <w:r>
        <w:rPr>
          <w:rtl w:val="true"/>
        </w:rPr>
        <w:t>ברי</w:t>
      </w:r>
      <w:r>
        <w:rPr>
          <w:rtl w:val="true"/>
        </w:rPr>
        <w:t xml:space="preserve">, </w:t>
      </w:r>
      <w:r>
        <w:rPr>
          <w:rtl w:val="true"/>
        </w:rPr>
        <w:t>כי אין המדובר בפיצוי מלא למתלוננים שנפגעו</w:t>
      </w:r>
      <w:r>
        <w:rPr>
          <w:rtl w:val="true"/>
        </w:rPr>
        <w:t xml:space="preserve">, </w:t>
      </w:r>
      <w:r>
        <w:rPr>
          <w:rtl w:val="true"/>
        </w:rPr>
        <w:t>גם בהתחשב בחלקו של הנאשם בביצוע העבירות</w:t>
      </w:r>
      <w:r>
        <w:rPr>
          <w:rtl w:val="true"/>
        </w:rPr>
        <w:t xml:space="preserve">, </w:t>
      </w:r>
      <w:r>
        <w:rPr>
          <w:rtl w:val="true"/>
        </w:rPr>
        <w:t>אלא בסעד שנועד להקל במידת מה על הנפגעים</w:t>
      </w:r>
      <w:r>
        <w:rPr>
          <w:rtl w:val="true"/>
        </w:rPr>
        <w:t xml:space="preserve">. </w:t>
      </w:r>
    </w:p>
    <w:p>
      <w:pPr>
        <w:pStyle w:val="BodyText2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2"/>
        <w:ind w:start="1440" w:end="0"/>
        <w:jc w:val="both"/>
        <w:rPr/>
      </w:pPr>
      <w:r>
        <w:rPr>
          <w:rtl w:val="true"/>
        </w:rPr>
        <w:t>לא מצאתי לנכון לפסוק פיצוי לבנקים שנפגעו</w:t>
      </w:r>
      <w:r>
        <w:rPr>
          <w:rtl w:val="true"/>
        </w:rPr>
        <w:t xml:space="preserve">.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>לשם קבלת פיצוי מלא ידרשו אלו להגשת תביעה אזרחית</w:t>
      </w:r>
      <w:r>
        <w:rPr>
          <w:rtl w:val="true"/>
        </w:rPr>
        <w:t xml:space="preserve">, </w:t>
      </w:r>
      <w:r>
        <w:rPr>
          <w:rtl w:val="true"/>
        </w:rPr>
        <w:t>במסגרתה יתברר היקף נזקיהם והאחריות תוטל על מי שימצא שותף למעשים</w:t>
      </w:r>
      <w:r>
        <w:rPr>
          <w:rtl w:val="true"/>
        </w:rPr>
        <w:t xml:space="preserve">. </w:t>
      </w:r>
    </w:p>
    <w:p>
      <w:pPr>
        <w:pStyle w:val="BodyText2"/>
        <w:ind w:start="720" w:end="0"/>
        <w:jc w:val="both"/>
        <w:rPr/>
      </w:pPr>
      <w:r>
        <w:rPr>
          <w:rtl w:val="true"/>
        </w:rPr>
      </w:r>
    </w:p>
    <w:p>
      <w:pPr>
        <w:pStyle w:val="BodyText2"/>
        <w:ind w:firstLine="720" w:start="720" w:end="0"/>
        <w:jc w:val="both"/>
        <w:rPr/>
      </w:pPr>
      <w:r>
        <w:rPr>
          <w:b/>
          <w:b/>
          <w:bCs/>
          <w:rtl w:val="true"/>
        </w:rPr>
        <w:t xml:space="preserve">זכות ערעור לבית המשפט העליון  בתוך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ניתן והודע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 תשרי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19/09/2010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</w:p>
    <w:p>
      <w:pPr>
        <w:pStyle w:val="Normal"/>
        <w:spacing w:lineRule="auto" w:line="360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אסתר הלמן </w:t>
      </w:r>
      <w:r>
        <w:rPr>
          <w:color w:val="000000"/>
          <w:sz w:val="22"/>
          <w:szCs w:val="22"/>
        </w:rPr>
        <w:t>54678313-178/09</w:t>
      </w:r>
    </w:p>
    <w:p>
      <w:pPr>
        <w:pStyle w:val="Normal"/>
        <w:spacing w:lineRule="auto" w:line="360"/>
        <w:ind w:end="0"/>
        <w:jc w:val="center"/>
        <w:rPr/>
      </w:pPr>
      <w:r>
        <w:rPr>
          <w:color w:val="FFFFFF"/>
          <w:sz w:val="2"/>
          <w:szCs w:val="2"/>
        </w:rPr>
        <w:t>5467831354678313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eastAsia="David"/>
              </w:rPr>
            </w:pPr>
            <w:r>
              <w:rPr>
                <w:rFonts w:eastAsia="David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eastAsia="David" w:cs="David"/>
                <w:b/>
                <w:bCs/>
              </w:rPr>
            </w:pPr>
            <w:r>
              <w:rPr>
                <w:rFonts w:eastAsia="David"/>
                <w:b/>
                <w:b/>
                <w:bCs/>
                <w:rtl w:val="true"/>
              </w:rPr>
              <w:t>אסתר הלמן</w:t>
            </w:r>
            <w:r>
              <w:rPr>
                <w:rFonts w:eastAsia="David" w:cs="David"/>
                <w:b/>
                <w:bCs/>
                <w:rtl w:val="true"/>
              </w:rPr>
              <w:t xml:space="preserve">, </w:t>
            </w:r>
            <w:r>
              <w:rPr>
                <w:rFonts w:eastAsia="David"/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David"/>
        <w:ind w:end="0"/>
        <w:jc w:val="both"/>
        <w:rPr>
          <w:rFonts w:ascii="David" w:hAnsi="David" w:cs="David"/>
          <w:b/>
          <w:bCs/>
        </w:rPr>
      </w:pPr>
      <w:r>
        <w:rPr>
          <w:b/>
          <w:b/>
          <w:bCs/>
          <w:sz w:val="16"/>
          <w:sz w:val="16"/>
          <w:szCs w:val="16"/>
          <w:rtl w:val="true"/>
        </w:rPr>
        <w:t xml:space="preserve">חנה    </w:t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חנה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טורקשוילי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נוסח</w:t>
      </w:r>
      <w:r>
        <w:rPr>
          <w:rFonts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מסמך</w:t>
      </w:r>
      <w:r>
        <w:rPr>
          <w:rFonts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כפוף</w:t>
      </w:r>
      <w:r>
        <w:rPr>
          <w:rFonts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לשינויי</w:t>
      </w:r>
      <w:r>
        <w:rPr>
          <w:rFonts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ניסוח</w:t>
      </w:r>
      <w:r>
        <w:rPr>
          <w:rFonts w:eastAsia="Davi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ועריכה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00"/>
          <w:sz w:val="28"/>
        </w:rPr>
      </w:pPr>
      <w:r>
        <w:rPr>
          <w:color w:val="000000"/>
          <w:sz w:val="28"/>
          <w:sz w:val="28"/>
          <w:rtl w:val="true"/>
        </w:rPr>
        <w:t>בעניין עריכה ושינויים במסמכי פסיקה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חקיקה ועוד באתר נבו – הקש כאן</w:t>
      </w:r>
    </w:p>
    <w:sectPr>
      <w:headerReference w:type="default" r:id="rId16"/>
      <w:footerReference w:type="default" r:id="rId1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/Users/liorb/Downloads/study2025-p2/ME-09-178-85.doc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178-09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חוסאם מוראד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178-09"/>
    <w:docVar w:name="caseId" w:val="56859436"/>
    <w:docVar w:name="deriveClass" w:val="NGCS.Protocol.BL.Client.ProtocolBLClientCriminal"/>
    <w:docVar w:name="firstPageNumber" w:val="20"/>
    <w:docVar w:name="MyInfo" w:val="This document was extracted from Nevo's site"/>
    <w:docVar w:name="NGCS.caseInterestID" w:val="-1"/>
    <w:docVar w:name="NGCS.caseTypeID" w:val="10048"/>
    <w:docVar w:name="NGCS.courtID" w:val="12"/>
    <w:docVar w:name="NGCS.isReservedAddressPlace" w:val="0"/>
    <w:docVar w:name="NGCS.isReservedVoucherPlace" w:val="0"/>
    <w:docVar w:name="NGCS.proceedingID" w:val="2"/>
    <w:docVar w:name="NGCS.TemplateCategoryID" w:val="14"/>
    <w:docVar w:name="NGCS.userUPN" w:val="056829138@GOV.IL"/>
    <w:docVar w:name="privellegeId" w:val="1"/>
    <w:docVar w:name="protocolId" w:val="1227311"/>
    <w:docVar w:name="releaseSign" w:val="0"/>
    <w:docVar w:name="sittingDateTime" w:val="19/09/2010 14:00     "/>
    <w:docVar w:name="sittingId" w:val="70311407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hanging="0" w:start="0" w:end="0"/>
      <w:jc w:val="start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hanging="0" w:start="0" w:end="0"/>
      <w:jc w:val="start"/>
      <w:outlineLvl w:val="2"/>
    </w:pPr>
    <w:rPr>
      <w:b/>
      <w:bCs/>
      <w:sz w:val="26"/>
      <w:szCs w:val="26"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>
      <w:rFonts w:cs="Times New Roman"/>
    </w:rPr>
  </w:style>
  <w:style w:type="character" w:styleId="WW8Num9z0">
    <w:name w:val="WW8Num9z0"/>
    <w:qFormat/>
    <w:rPr>
      <w:rFonts w:cs="Times New Roman"/>
    </w:rPr>
  </w:style>
  <w:style w:type="character" w:styleId="WW8Num10z0">
    <w:name w:val="WW8Num10z0"/>
    <w:qFormat/>
    <w:rPr>
      <w:rFonts w:cs="Times New Roman"/>
    </w:rPr>
  </w:style>
  <w:style w:type="character" w:styleId="WW8Num11z0">
    <w:name w:val="WW8Num11z0"/>
    <w:qFormat/>
    <w:rPr>
      <w:rFonts w:cs="Times New Roman"/>
    </w:rPr>
  </w:style>
  <w:style w:type="character" w:styleId="WW8Num11z1">
    <w:name w:val="WW8Num11z1"/>
    <w:qFormat/>
    <w:rPr>
      <w:rFonts w:cs="Times New Roman"/>
    </w:rPr>
  </w:style>
  <w:style w:type="character" w:styleId="WW8Num12z0">
    <w:name w:val="WW8Num12z0"/>
    <w:qFormat/>
    <w:rPr>
      <w:rFonts w:cs="Times New Roman"/>
    </w:rPr>
  </w:style>
  <w:style w:type="character" w:styleId="WW8Num12z1">
    <w:name w:val="WW8Num12z1"/>
    <w:qFormat/>
    <w:rPr>
      <w:rFonts w:cs="Times New Roman"/>
    </w:rPr>
  </w:style>
  <w:style w:type="character" w:styleId="WW8Num13z0">
    <w:name w:val="WW8Num13z0"/>
    <w:qFormat/>
    <w:rPr>
      <w:rFonts w:cs="Times New Roman"/>
    </w:rPr>
  </w:style>
  <w:style w:type="character" w:styleId="WW8Num14z0">
    <w:name w:val="WW8Num14z0"/>
    <w:qFormat/>
    <w:rPr>
      <w:rFonts w:cs="Times New Roman"/>
    </w:rPr>
  </w:style>
  <w:style w:type="character" w:styleId="WW8Num15z0">
    <w:name w:val="WW8Num15z0"/>
    <w:qFormat/>
    <w:rPr>
      <w:rFonts w:cs="Times New Roman"/>
    </w:rPr>
  </w:style>
  <w:style w:type="character" w:styleId="WW8Num16z0">
    <w:name w:val="WW8Num16z0"/>
    <w:qFormat/>
    <w:rPr>
      <w:rFonts w:cs="Times New Roman"/>
    </w:rPr>
  </w:style>
  <w:style w:type="character" w:styleId="WW8Num17z0">
    <w:name w:val="WW8Num17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rFonts w:cs="Times New Roman"/>
      <w:sz w:val="16"/>
      <w:szCs w:val="16"/>
    </w:rPr>
  </w:style>
  <w:style w:type="character" w:styleId="PageNumber">
    <w:name w:val="page number"/>
    <w:basedOn w:val="DefaultParagraphFont"/>
    <w:rPr>
      <w:rFonts w:cs="Times New Roman"/>
    </w:rPr>
  </w:style>
  <w:style w:type="character" w:styleId="LineNumber">
    <w:name w:val="line number"/>
    <w:basedOn w:val="DefaultParagraphFont"/>
    <w:rPr>
      <w:rFonts w:cs="Arial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/>
      <w:ind w:hanging="0" w:start="0" w:end="0"/>
      <w:jc w:val="both"/>
    </w:pPr>
    <w:rPr>
      <w:rFonts w:ascii="Times New Roman" w:hAnsi="Times New Roman" w:eastAsia="David" w:cs="Times New Roman"/>
      <w:sz w:val="22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sz w:val="20"/>
      <w:szCs w:val="20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ind w:hanging="0" w:start="0" w:end="0"/>
      <w:jc w:val="both"/>
    </w:pPr>
    <w:rPr>
      <w:rFonts w:ascii="Times New Roman" w:hAnsi="Times New Roman" w:eastAsia="David" w:cs="Times New Roman"/>
    </w:rPr>
  </w:style>
  <w:style w:type="paragraph" w:styleId="BodyText2">
    <w:name w:val="Body Text 2"/>
    <w:basedOn w:val="Normal"/>
    <w:qFormat/>
    <w:pPr>
      <w:spacing w:lineRule="auto" w:line="360"/>
      <w:ind w:hanging="0" w:start="0" w:end="0"/>
      <w:jc w:val="start"/>
    </w:pPr>
    <w:rPr>
      <w:rFonts w:ascii="Times New Roman" w:hAnsi="Times New Roman" w:eastAsia="David" w:cs="Times New Roman"/>
      <w:sz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17927659" TargetMode="External"/><Relationship Id="rId14" Type="http://schemas.openxmlformats.org/officeDocument/2006/relationships/hyperlink" Target="http://www.nevo.co.il/case/5670712" TargetMode="External"/><Relationship Id="rId15" Type="http://schemas.openxmlformats.org/officeDocument/2006/relationships/hyperlink" Target="http://www.nevo.co.il/case/17927659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2016-02-08T12:04:00Z</dcterms:created>
  <dc:creator> </dc:creator>
  <dc:description/>
  <cp:keywords/>
  <dc:language>en-IL</dc:language>
  <cp:lastModifiedBy>hofit</cp:lastModifiedBy>
  <cp:lastPrinted>2010-09-19T14:27:00Z</cp:lastPrinted>
  <dcterms:modified xsi:type="dcterms:W3CDTF">2016-02-08T12:04:00Z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חוסאם מוראד </vt:lpwstr>
  </property>
  <property fmtid="{D5CDD505-2E9C-101B-9397-08002B2CF9AE}" pid="4" name="CASENOTES1">
    <vt:lpwstr>ProcID=209&amp;PartA=2598&amp;PartC=05</vt:lpwstr>
  </property>
  <property fmtid="{D5CDD505-2E9C-101B-9397-08002B2CF9AE}" pid="5" name="CASENOTES2">
    <vt:lpwstr>ProcID=209&amp;PartA=1325&amp;PartC=08</vt:lpwstr>
  </property>
  <property fmtid="{D5CDD505-2E9C-101B-9397-08002B2CF9AE}" pid="6" name="CASESLISTTMP1">
    <vt:lpwstr>17927659:2;5670712</vt:lpwstr>
  </property>
  <property fmtid="{D5CDD505-2E9C-101B-9397-08002B2CF9AE}" pid="7" name="CITY">
    <vt:lpwstr>נצ'</vt:lpwstr>
  </property>
  <property fmtid="{D5CDD505-2E9C-101B-9397-08002B2CF9AE}" pid="8" name="DATE">
    <vt:lpwstr>20100919</vt:lpwstr>
  </property>
  <property fmtid="{D5CDD505-2E9C-101B-9397-08002B2CF9AE}" pid="9" name="DELEMATA">
    <vt:lpwstr/>
  </property>
  <property fmtid="{D5CDD505-2E9C-101B-9397-08002B2CF9AE}" pid="10" name="ISABSTRACT">
    <vt:lpwstr>Y</vt:lpwstr>
  </property>
  <property fmtid="{D5CDD505-2E9C-101B-9397-08002B2CF9AE}" pid="11" name="JUDGE">
    <vt:lpwstr>אסתר הלמן</vt:lpwstr>
  </property>
  <property fmtid="{D5CDD505-2E9C-101B-9397-08002B2CF9AE}" pid="12" name="LAWLISTTMP1">
    <vt:lpwstr>70301:10</vt:lpwstr>
  </property>
  <property fmtid="{D5CDD505-2E9C-101B-9397-08002B2CF9AE}" pid="13" name="LAWYER">
    <vt:lpwstr>מורן רייצ'רס; פלאח;יוסף עאמר</vt:lpwstr>
  </property>
  <property fmtid="{D5CDD505-2E9C-101B-9397-08002B2CF9AE}" pid="14" name="LINKK1">
    <vt:lpwstr/>
  </property>
  <property fmtid="{D5CDD505-2E9C-101B-9397-08002B2CF9AE}" pid="15" name="LINKK10">
    <vt:lpwstr/>
  </property>
  <property fmtid="{D5CDD505-2E9C-101B-9397-08002B2CF9AE}" pid="16" name="LINKK11">
    <vt:lpwstr/>
  </property>
  <property fmtid="{D5CDD505-2E9C-101B-9397-08002B2CF9AE}" pid="17" name="LINKK12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LINKK6">
    <vt:lpwstr/>
  </property>
  <property fmtid="{D5CDD505-2E9C-101B-9397-08002B2CF9AE}" pid="23" name="LINKK7">
    <vt:lpwstr/>
  </property>
  <property fmtid="{D5CDD505-2E9C-101B-9397-08002B2CF9AE}" pid="24" name="LINKK8">
    <vt:lpwstr/>
  </property>
  <property fmtid="{D5CDD505-2E9C-101B-9397-08002B2CF9AE}" pid="25" name="LINKK9">
    <vt:lpwstr/>
  </property>
  <property fmtid="{D5CDD505-2E9C-101B-9397-08002B2CF9AE}" pid="26" name="NEWPARTA">
    <vt:lpwstr>178</vt:lpwstr>
  </property>
  <property fmtid="{D5CDD505-2E9C-101B-9397-08002B2CF9AE}" pid="27" name="NEWPARTB">
    <vt:lpwstr/>
  </property>
  <property fmtid="{D5CDD505-2E9C-101B-9397-08002B2CF9AE}" pid="28" name="NEWPARTC">
    <vt:lpwstr>09</vt:lpwstr>
  </property>
  <property fmtid="{D5CDD505-2E9C-101B-9397-08002B2CF9AE}" pid="29" name="NEWPROC">
    <vt:lpwstr>תפ</vt:lpwstr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/>
  </property>
  <property fmtid="{D5CDD505-2E9C-101B-9397-08002B2CF9AE}" pid="34" name="PROCNUM">
    <vt:lpwstr>178</vt:lpwstr>
  </property>
  <property fmtid="{D5CDD505-2E9C-101B-9397-08002B2CF9AE}" pid="35" name="PROCYEAR">
    <vt:lpwstr>09</vt:lpwstr>
  </property>
  <property fmtid="{D5CDD505-2E9C-101B-9397-08002B2CF9AE}" pid="36" name="PSAKDIN">
    <vt:lpwstr>גזר-דין</vt:lpwstr>
  </property>
  <property fmtid="{D5CDD505-2E9C-101B-9397-08002B2CF9AE}" pid="37" name="RemarkFileName">
    <vt:lpwstr>mechozi me 09 178 85 htm</vt:lpwstr>
  </property>
  <property fmtid="{D5CDD505-2E9C-101B-9397-08002B2CF9AE}" pid="38" name="TYPE">
    <vt:lpwstr>2</vt:lpwstr>
  </property>
  <property fmtid="{D5CDD505-2E9C-101B-9397-08002B2CF9AE}" pid="39" name="TYPE_ABS_DATE">
    <vt:lpwstr>390020100919</vt:lpwstr>
  </property>
  <property fmtid="{D5CDD505-2E9C-101B-9397-08002B2CF9AE}" pid="40" name="TYPE_N_DATE">
    <vt:lpwstr>39020100919</vt:lpwstr>
  </property>
  <property fmtid="{D5CDD505-2E9C-101B-9397-08002B2CF9AE}" pid="41" name="VOLUME">
    <vt:lpwstr/>
  </property>
  <property fmtid="{D5CDD505-2E9C-101B-9397-08002B2CF9AE}" pid="42" name="WORDNUMPAGES">
    <vt:lpwstr>9</vt:lpwstr>
  </property>
</Properties>
</file>