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17856-06-17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הינד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נאבולסי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מוניב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נאטור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אביזר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התעבורה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].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1:45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תאנים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מלנהוג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דיווח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צנתורים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לאשפוזו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ולהרוויח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". 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בולטים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המותרת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2.4.17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חלקי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מהלשכה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להכניסם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מבוססים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בביקורתיות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שולחנו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19.5.17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ובלשון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"...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טומנות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לקיפוח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אזרחים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'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ודוק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להילקח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שיתפתה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ברגעי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ופחד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סולימאן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בבטיחותם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כשבצמוד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בהדרגה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תחילה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להזכיר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הנגזרים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במגמה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שכתבתי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cs="Calibri" w:ascii="Calibri" w:hAnsi="Calibri"/>
          <w:b/>
          <w:bCs/>
          <w:rtl w:val="true"/>
        </w:rPr>
        <w:t>: '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 xml:space="preserve">'..."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בעונשיהן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שהראתה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השילוב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חולירע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שמאי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הפתגם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בתיאטרון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הפקר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').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cs="David" w:ascii="David" w:hAnsi="David"/>
          <w:lang w:eastAsia="he-IL"/>
        </w:rPr>
        <w:t>25.2.2014</w:t>
      </w:r>
      <w:r>
        <w:rPr>
          <w:rFonts w:cs="David" w:ascii="David" w:hAnsi="David"/>
          <w:rtl w:val="true"/>
          <w:lang w:eastAsia="he-IL"/>
        </w:rPr>
        <w:t>]).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שהוסלקו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המחויבים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6347/17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מגאהד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2.1.18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קֶשֶר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המיידית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13" w:end="0"/>
        <w:jc w:val="both"/>
        <w:rPr/>
      </w:pPr>
      <w:r>
        <w:rPr>
          <w:rFonts w:cs="FrankRuehl" w:ascii="Palatino Linotype" w:hAnsi="Palatino Linotype"/>
          <w:sz w:val="22"/>
          <w:szCs w:val="26"/>
          <w:rtl w:val="true"/>
        </w:rPr>
        <w:tab/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4135/16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22.2.17</w:t>
      </w:r>
      <w:r>
        <w:rPr>
          <w:rFonts w:cs="Calibri" w:ascii="Calibri" w:hAnsi="Calibri"/>
          <w:rtl w:val="true"/>
        </w:rPr>
        <w:t xml:space="preserve">] -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שתכנן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והנהיגה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22.02.07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בתחתוניו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189-01-16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זידאן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28.7.16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וקופסת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7124/16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זידאן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23.1.17</w:t>
      </w:r>
      <w:r>
        <w:rPr>
          <w:rFonts w:cs="Calibri" w:ascii="Calibri" w:hAnsi="Calibri"/>
          <w:rtl w:val="true"/>
        </w:rPr>
        <w:t xml:space="preserve">]).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24364-10-16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חנינה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5.7.17</w:t>
      </w:r>
      <w:r>
        <w:rPr>
          <w:rFonts w:cs="Calibri" w:ascii="Calibri" w:hAnsi="Calibri"/>
          <w:rtl w:val="true"/>
        </w:rPr>
        <w:t xml:space="preserve">]: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– </w:t>
      </w:r>
      <w:r>
        <w:rPr>
          <w:rFonts w:cs="Calibri" w:ascii="Calibri" w:hAnsi="Calibri"/>
          <w:b/>
          <w:bCs/>
          <w:u w:val="single"/>
        </w:rPr>
        <w:t>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לצד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תנאי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וקנס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  <w:tab/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שבריאותה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רצדיביסט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זלזול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Symbol" w:ascii="Symbol" w:hAnsi="Symbol"/>
          <w:rtl w:val="true"/>
        </w:rPr>
        <w:tab/>
        <w:tab/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חדרה</w:t>
      </w:r>
      <w:r>
        <w:rPr>
          <w:rFonts w:cs="Calibri" w:ascii="Calibri" w:hAnsi="Calibri"/>
          <w:rtl w:val="true"/>
        </w:rPr>
        <w:t xml:space="preserve">)    </w:t>
      </w:r>
      <w:r>
        <w:rPr>
          <w:rFonts w:cs="Calibri" w:ascii="Calibri" w:hAnsi="Calibri"/>
        </w:rPr>
        <w:t>6747-01-17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2.4.17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כך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שסך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ירצה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מעצרו</w:t>
      </w:r>
      <w:r>
        <w:rPr>
          <w:rFonts w:cs="Calibri" w:ascii="Calibri" w:hAnsi="Calibri"/>
          <w:b/>
          <w:bCs/>
          <w:u w:val="single"/>
          <w:rtl w:val="true"/>
        </w:rPr>
        <w:t xml:space="preserve">: </w:t>
      </w:r>
      <w:r>
        <w:rPr>
          <w:rFonts w:cs="Calibri" w:ascii="Calibri" w:hAnsi="Calibri"/>
          <w:b/>
          <w:bCs/>
          <w:u w:val="single"/>
        </w:rPr>
        <w:t>19.5.17</w:t>
      </w:r>
      <w:r>
        <w:rPr>
          <w:rFonts w:cs="Calibri" w:ascii="Calibri" w:hAnsi="Calibri"/>
          <w:b/>
          <w:bCs/>
          <w:u w:val="single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פוסלת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Palatino Linotype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17856-06-17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מוניב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  הובא 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67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5227/67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8291683" TargetMode="External"/><Relationship Id="rId14" Type="http://schemas.openxmlformats.org/officeDocument/2006/relationships/hyperlink" Target="http://www.nevo.co.il/case/22908754" TargetMode="External"/><Relationship Id="rId15" Type="http://schemas.openxmlformats.org/officeDocument/2006/relationships/hyperlink" Target="http://www.nevo.co.il/case/21474514" TargetMode="External"/><Relationship Id="rId16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6949290" TargetMode="External"/><Relationship Id="rId18" Type="http://schemas.openxmlformats.org/officeDocument/2006/relationships/hyperlink" Target="http://www.nevo.co.il/case/20841908" TargetMode="External"/><Relationship Id="rId19" Type="http://schemas.openxmlformats.org/officeDocument/2006/relationships/hyperlink" Target="http://www.nevo.co.il/case/21479334" TargetMode="External"/><Relationship Id="rId20" Type="http://schemas.openxmlformats.org/officeDocument/2006/relationships/hyperlink" Target="http://www.nevo.co.il/case/21566004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2018-09-26T08:40:00Z</dcterms:created>
  <dc:creator> </dc:creator>
  <dc:description/>
  <cp:keywords/>
  <dc:language>en-IL</dc:language>
  <cp:lastModifiedBy>run</cp:lastModifiedBy>
  <dcterms:modified xsi:type="dcterms:W3CDTF">2018-09-26T08:40:00Z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פמ"מ ו</vt:lpwstr>
  </property>
  <property fmtid="{D5CDD505-2E9C-101B-9397-08002B2CF9AE}" pid="3" name="APPELLEE">
    <vt:lpwstr>מוניב מחאג'נה  הובא ו</vt:lpwstr>
  </property>
  <property fmtid="{D5CDD505-2E9C-101B-9397-08002B2CF9AE}" pid="4" name="CASESLISTTMP1">
    <vt:lpwstr>7791493;8291683;22908754;21474514;5724364;6949290;20841908;21479334;21566004</vt:lpwstr>
  </property>
  <property fmtid="{D5CDD505-2E9C-101B-9397-08002B2CF9AE}" pid="5" name="CITY">
    <vt:lpwstr>מרכז</vt:lpwstr>
  </property>
  <property fmtid="{D5CDD505-2E9C-101B-9397-08002B2CF9AE}" pid="6" name="DATE">
    <vt:lpwstr>20180409</vt:lpwstr>
  </property>
  <property fmtid="{D5CDD505-2E9C-101B-9397-08002B2CF9AE}" pid="7" name="ISABSTRACT">
    <vt:lpwstr>Y</vt:lpwstr>
  </property>
  <property fmtid="{D5CDD505-2E9C-101B-9397-08002B2CF9AE}" pid="8" name="JUDGE">
    <vt:lpwstr>דנה מרשק מרום</vt:lpwstr>
  </property>
  <property fmtid="{D5CDD505-2E9C-101B-9397-08002B2CF9AE}" pid="9" name="LAWLISTTMP1">
    <vt:lpwstr>70301/144.b:3;40ja</vt:lpwstr>
  </property>
  <property fmtid="{D5CDD505-2E9C-101B-9397-08002B2CF9AE}" pid="10" name="LAWLISTTMP2">
    <vt:lpwstr>5227/067</vt:lpwstr>
  </property>
  <property fmtid="{D5CDD505-2E9C-101B-9397-08002B2CF9AE}" pid="11" name="LAWYER">
    <vt:lpwstr>הינד נאבולסי;הובא;נאטור בויראת</vt:lpwstr>
  </property>
  <property fmtid="{D5CDD505-2E9C-101B-9397-08002B2CF9AE}" pid="12" name="NEWPARTA">
    <vt:lpwstr>17856</vt:lpwstr>
  </property>
  <property fmtid="{D5CDD505-2E9C-101B-9397-08002B2CF9AE}" pid="13" name="NEWPARTB">
    <vt:lpwstr>06</vt:lpwstr>
  </property>
  <property fmtid="{D5CDD505-2E9C-101B-9397-08002B2CF9AE}" pid="14" name="NEWPARTC">
    <vt:lpwstr>17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390020180409</vt:lpwstr>
  </property>
  <property fmtid="{D5CDD505-2E9C-101B-9397-08002B2CF9AE}" pid="19" name="TYPE_N_DATE">
    <vt:lpwstr>39020180409</vt:lpwstr>
  </property>
  <property fmtid="{D5CDD505-2E9C-101B-9397-08002B2CF9AE}" pid="20" name="WORDNUMPAGES">
    <vt:lpwstr>8</vt:lpwstr>
  </property>
</Properties>
</file>