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17856-11-21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מהראן בדיר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טל שילוני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רן שטרצר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מרדכי בן דרור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בית המשפט העליון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מבנה חדש והערכות חדשה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David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bookmarkStart w:id="16" w:name="ABSTRACT_START"/>
      <w:bookmarkEnd w:id="16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 בעבירת החזקת נשק</w:t>
      </w:r>
      <w:r>
        <w:rPr>
          <w:rtl w:val="true"/>
        </w:rPr>
        <w:t xml:space="preserve">, </w:t>
      </w:r>
      <w:r>
        <w:rPr>
          <w:rtl w:val="true"/>
        </w:rPr>
        <w:t>תחמושת ואביזרי נשק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6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  <w:bookmarkStart w:id="17" w:name="ABSTRACT_END"/>
      <w:bookmarkStart w:id="18" w:name="ABSTRACT_END"/>
      <w:bookmarkEnd w:id="18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במחצית השניה של 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רכש הנאשם רובה סער מסוג קאלצ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 ותחמושת מתאימות</w:t>
      </w:r>
      <w:r>
        <w:rPr>
          <w:rtl w:val="true"/>
        </w:rPr>
        <w:t xml:space="preserve">, </w:t>
      </w:r>
      <w:r>
        <w:rPr>
          <w:rtl w:val="true"/>
        </w:rPr>
        <w:t xml:space="preserve">אקדח חצי אוטומטי </w:t>
      </w:r>
      <w:r>
        <w:rPr/>
        <w:t>FEG</w:t>
      </w:r>
      <w:r>
        <w:rPr>
          <w:rtl w:val="true"/>
        </w:rPr>
        <w:t xml:space="preserve"> </w:t>
      </w:r>
      <w:r>
        <w:rPr>
          <w:rtl w:val="true"/>
        </w:rPr>
        <w:t>ומחסנית תואמת</w:t>
      </w:r>
      <w:r>
        <w:rPr>
          <w:rtl w:val="true"/>
        </w:rPr>
        <w:t xml:space="preserve">, </w:t>
      </w:r>
      <w:r>
        <w:rPr>
          <w:rtl w:val="true"/>
        </w:rPr>
        <w:t xml:space="preserve">רימון גז </w:t>
      </w:r>
      <w:r>
        <w:rPr>
          <w:rtl w:val="true"/>
        </w:rPr>
        <w:t>(</w:t>
      </w:r>
      <w:r>
        <w:rPr>
          <w:rtl w:val="true"/>
        </w:rPr>
        <w:t>שאינו תקין</w:t>
      </w:r>
      <w:r>
        <w:rPr>
          <w:rtl w:val="true"/>
        </w:rPr>
        <w:t xml:space="preserve">), </w:t>
      </w:r>
      <w:r>
        <w:rPr>
          <w:rtl w:val="true"/>
        </w:rPr>
        <w:t xml:space="preserve">עשרות 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</w:t>
      </w:r>
      <w:r>
        <w:rPr>
          <w:rtl w:val="true"/>
        </w:rPr>
        <w:t xml:space="preserve">-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שלוש מחסניות לאקדח שתי מחסניות ברזל</w:t>
      </w:r>
      <w:r>
        <w:rPr>
          <w:rtl w:val="true"/>
        </w:rPr>
        <w:t xml:space="preserve">. </w:t>
      </w:r>
      <w:r>
        <w:rPr>
          <w:rtl w:val="true"/>
        </w:rPr>
        <w:t>את כלי הנשק והתחמושת החזיק הנאשם במשך כשלושה חודשים וחצי ברכב אשר היה בשימושו ושליטתו</w:t>
      </w:r>
      <w:r>
        <w:rPr>
          <w:rtl w:val="true"/>
        </w:rPr>
        <w:t xml:space="preserve">, </w:t>
      </w:r>
      <w:r>
        <w:rPr>
          <w:rtl w:val="true"/>
        </w:rPr>
        <w:t>ולאחר מכן הסליקם במקומות שונים בחדר השינה 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17.5.22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ויופנה לשירות המבחן לעריכת תסקיר חובה</w:t>
      </w:r>
      <w:r>
        <w:rPr>
          <w:rtl w:val="true"/>
        </w:rPr>
        <w:t xml:space="preserve">. </w:t>
      </w:r>
      <w:r>
        <w:rPr>
          <w:rtl w:val="true"/>
        </w:rPr>
        <w:t>הצדדים לא הגיעו להסכמות עונשיות והוסכם כי יטענו באופן חופשי לעונש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נעדר הרשעות קודמות</w:t>
      </w:r>
      <w:r>
        <w:rPr>
          <w:rtl w:val="true"/>
        </w:rPr>
        <w:t xml:space="preserve">. </w:t>
      </w:r>
      <w:r>
        <w:rPr>
          <w:rtl w:val="true"/>
        </w:rPr>
        <w:t>עובר למעצרו עבד כזבן בקיוסק עד שהתפטר מיוזמתו</w:t>
      </w:r>
      <w:r>
        <w:rPr>
          <w:rtl w:val="true"/>
        </w:rPr>
        <w:t xml:space="preserve">. </w:t>
      </w:r>
      <w:r>
        <w:rPr>
          <w:rtl w:val="true"/>
        </w:rPr>
        <w:t>הנאשם קיבל אחריות חלקית על ביצוע העבירות</w:t>
      </w:r>
      <w:r>
        <w:rPr>
          <w:rtl w:val="true"/>
        </w:rPr>
        <w:t xml:space="preserve">, </w:t>
      </w:r>
      <w:r>
        <w:rPr>
          <w:rtl w:val="true"/>
        </w:rPr>
        <w:t>הביע חרטה ובושה מול בני משפחתו</w:t>
      </w:r>
      <w:r>
        <w:rPr>
          <w:rtl w:val="true"/>
        </w:rPr>
        <w:t xml:space="preserve">, </w:t>
      </w:r>
      <w:r>
        <w:rPr>
          <w:rtl w:val="true"/>
        </w:rPr>
        <w:t>אך התקשה להסביר את הנסיבות בהן הגיע הנשק לידיו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פעל ללא שיקול דעת ומודעות באשר להשלכות הפליליות החמורות של מעשיו</w:t>
      </w:r>
      <w:r>
        <w:rPr>
          <w:rtl w:val="true"/>
        </w:rPr>
        <w:t xml:space="preserve">, </w:t>
      </w:r>
      <w:r>
        <w:rPr>
          <w:rtl w:val="true"/>
        </w:rPr>
        <w:t>ולא נתן דעתו לסיכון הכרוך בהם</w:t>
      </w:r>
      <w:r>
        <w:rPr>
          <w:rtl w:val="true"/>
        </w:rPr>
        <w:t xml:space="preserve">. </w:t>
      </w:r>
      <w:r>
        <w:rPr>
          <w:rtl w:val="true"/>
        </w:rPr>
        <w:t>ציין שהתנהלותו בעבירות חריגה לאורח חייו התקין</w:t>
      </w:r>
      <w:r>
        <w:rPr>
          <w:rtl w:val="true"/>
        </w:rPr>
        <w:t xml:space="preserve">, </w:t>
      </w:r>
      <w:r>
        <w:rPr>
          <w:rtl w:val="true"/>
        </w:rPr>
        <w:t>וביטא הבנה כי היה עליו לפעול אחרת</w:t>
      </w:r>
      <w:r>
        <w:rPr>
          <w:rtl w:val="true"/>
        </w:rPr>
        <w:t xml:space="preserve">. </w:t>
      </w:r>
      <w:r>
        <w:rPr>
          <w:rtl w:val="true"/>
        </w:rPr>
        <w:t>עוד שלל קשרים עם גורמים שוליים ונזקקות טיפולית</w:t>
      </w:r>
      <w:r>
        <w:rPr>
          <w:rtl w:val="true"/>
        </w:rPr>
        <w:t xml:space="preserve">. </w:t>
      </w:r>
      <w:r>
        <w:rPr>
          <w:rtl w:val="true"/>
        </w:rPr>
        <w:t>הנאשם ביטא שאיפות נורמטיביות לעתיד</w:t>
      </w:r>
      <w:r>
        <w:rPr>
          <w:rtl w:val="true"/>
        </w:rPr>
        <w:t xml:space="preserve">, </w:t>
      </w:r>
      <w:r>
        <w:rPr>
          <w:rtl w:val="true"/>
        </w:rPr>
        <w:t>ועלה הרושם שמעצרו וההליך המשפטי מהווים עבורו נקודת משבר</w:t>
      </w:r>
      <w:r>
        <w:rPr>
          <w:rtl w:val="true"/>
        </w:rPr>
        <w:t xml:space="preserve">. </w:t>
      </w:r>
      <w:r>
        <w:rPr>
          <w:rtl w:val="true"/>
        </w:rPr>
        <w:t>רמת הסיכון להתנהלות אלימה בעתיד הוערכה כבינונית</w:t>
      </w:r>
      <w:r>
        <w:rPr>
          <w:rtl w:val="true"/>
        </w:rPr>
        <w:t xml:space="preserve">. </w:t>
      </w:r>
      <w:r>
        <w:rPr>
          <w:rtl w:val="true"/>
        </w:rPr>
        <w:t>שירות המבחן לא בא בהמלצה שיקומית</w:t>
      </w:r>
      <w:r>
        <w:rPr>
          <w:rtl w:val="true"/>
        </w:rPr>
        <w:t xml:space="preserve">, </w:t>
      </w:r>
      <w:r>
        <w:rPr>
          <w:rtl w:val="true"/>
        </w:rPr>
        <w:t>והמליץ על הטלת עונש מוחשי</w:t>
      </w:r>
      <w:r>
        <w:rPr>
          <w:rtl w:val="true"/>
        </w:rPr>
        <w:t xml:space="preserve">, </w:t>
      </w:r>
      <w:r>
        <w:rPr>
          <w:rtl w:val="true"/>
        </w:rPr>
        <w:t>שמחד</w:t>
      </w:r>
      <w:r>
        <w:rPr>
          <w:rtl w:val="true"/>
        </w:rPr>
        <w:t xml:space="preserve">, </w:t>
      </w:r>
      <w:r>
        <w:rPr>
          <w:rtl w:val="true"/>
        </w:rPr>
        <w:t>יחדד את גבולות החוק</w:t>
      </w:r>
      <w:r>
        <w:rPr>
          <w:rtl w:val="true"/>
        </w:rPr>
        <w:t xml:space="preserve">, </w:t>
      </w:r>
      <w:r>
        <w:rPr>
          <w:rtl w:val="true"/>
        </w:rPr>
        <w:t>ומאידך יתחשב בכך שמדובר בעבירה ראשונה ויחידה ואת סיכוייו 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 הטיעונים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>,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ט</w:t>
      </w:r>
      <w:r>
        <w:rPr>
          <w:rtl w:val="true"/>
        </w:rPr>
        <w:t>.</w:t>
      </w:r>
      <w:r>
        <w:rPr>
          <w:rtl w:val="true"/>
        </w:rPr>
        <w:t>שילוני</w:t>
      </w:r>
      <w:r>
        <w:rPr>
          <w:rtl w:val="true"/>
        </w:rPr>
        <w:t xml:space="preserve">, </w:t>
      </w:r>
      <w:r>
        <w:rPr>
          <w:rtl w:val="true"/>
        </w:rPr>
        <w:t>עמדה בטיעוניה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ופוטנציאל הנזק שעלול היה להיגרם מהחזקת נשק בלתי חוקי</w:t>
      </w:r>
      <w:r>
        <w:rPr>
          <w:rtl w:val="true"/>
        </w:rPr>
        <w:t xml:space="preserve">.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מדובר במעשה החזקת נשק חמור הגובל בעבירת נשיאה ויש לקבוע בגינו שני מתחמי ענישה</w:t>
      </w:r>
      <w:r>
        <w:rPr>
          <w:rtl w:val="true"/>
        </w:rPr>
        <w:t xml:space="preserve">: </w:t>
      </w:r>
      <w:r>
        <w:rPr>
          <w:rtl w:val="true"/>
        </w:rPr>
        <w:t>בגין החזקת נשק התקפי</w:t>
      </w:r>
      <w:r>
        <w:rPr>
          <w:rtl w:val="true"/>
        </w:rPr>
        <w:t xml:space="preserve">, </w:t>
      </w:r>
      <w:r>
        <w:rPr>
          <w:rtl w:val="true"/>
        </w:rPr>
        <w:t xml:space="preserve">מתחם הנע בין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 מאסר ובגין החזקת האקדח</w:t>
      </w:r>
      <w:r>
        <w:rPr>
          <w:rtl w:val="true"/>
        </w:rPr>
        <w:t xml:space="preserve">, </w:t>
      </w:r>
      <w:r>
        <w:rPr>
          <w:rtl w:val="true"/>
        </w:rPr>
        <w:t xml:space="preserve">מתחם שנע בין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עוד עמדה על נסיבותיו המחמירות של המעשה</w:t>
      </w:r>
      <w:r>
        <w:rPr>
          <w:rtl w:val="true"/>
        </w:rPr>
        <w:t xml:space="preserve">, </w:t>
      </w:r>
      <w:r>
        <w:rPr>
          <w:rtl w:val="true"/>
        </w:rPr>
        <w:t>ריבוי כלי הנשק</w:t>
      </w:r>
      <w:r>
        <w:rPr>
          <w:rtl w:val="true"/>
        </w:rPr>
        <w:t xml:space="preserve">, </w:t>
      </w:r>
      <w:r>
        <w:rPr>
          <w:rtl w:val="true"/>
        </w:rPr>
        <w:t>תקופת החזקה ממושכת</w:t>
      </w:r>
      <w:r>
        <w:rPr>
          <w:rtl w:val="true"/>
        </w:rPr>
        <w:t xml:space="preserve">, </w:t>
      </w:r>
      <w:r>
        <w:rPr>
          <w:rtl w:val="true"/>
        </w:rPr>
        <w:t>תכנון מוקדם ומגמת ההחמרה בענישה בעבירות נשק</w:t>
      </w:r>
      <w:r>
        <w:rPr>
          <w:rtl w:val="true"/>
        </w:rPr>
        <w:t xml:space="preserve">.  </w:t>
      </w:r>
      <w:r>
        <w:rPr>
          <w:rtl w:val="true"/>
        </w:rPr>
        <w:t xml:space="preserve">לפיכך עתרה למתחם למתחם עונש הולם כולל הנע בין </w:t>
      </w:r>
      <w:r>
        <w:rPr/>
        <w:t>66-46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בהתחשב בעברו 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לקיחת אחריות וחסכון זמן ציבורי ביקשה למקם את הנאשם בתחתית המתחם לצד ענישה נלווית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רן שטרצר</w:t>
      </w:r>
      <w:r>
        <w:rPr>
          <w:rtl w:val="true"/>
        </w:rPr>
        <w:t xml:space="preserve">, </w:t>
      </w:r>
      <w:r>
        <w:rPr>
          <w:rtl w:val="true"/>
        </w:rPr>
        <w:t>לא חלק על חומרת המעשים ופגיעתם בערכים מוגנים</w:t>
      </w:r>
      <w:r>
        <w:rPr>
          <w:rtl w:val="true"/>
        </w:rPr>
        <w:t xml:space="preserve">, </w:t>
      </w:r>
      <w:r>
        <w:rPr>
          <w:rtl w:val="true"/>
        </w:rPr>
        <w:t>עם זאת סבור שהמאשימה נקלעה לטעות בכך שביקשה לפצל את המעשה לשני אירועים ולקבוע שני מתחמי ענישה נפרדים וכן סבור</w:t>
      </w:r>
      <w:r>
        <w:rPr>
          <w:rtl w:val="true"/>
        </w:rPr>
        <w:t xml:space="preserve">, </w:t>
      </w:r>
      <w:r>
        <w:rPr>
          <w:rtl w:val="true"/>
        </w:rPr>
        <w:t>בהתאם לפסיקה שהוצגה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מתון יותר ונע בין </w:t>
      </w:r>
      <w:r>
        <w:rPr/>
        <w:t>16-36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באשר לנאשם</w:t>
      </w:r>
      <w:r>
        <w:rPr>
          <w:rtl w:val="true"/>
        </w:rPr>
        <w:t xml:space="preserve">, </w:t>
      </w:r>
      <w:r>
        <w:rPr>
          <w:rtl w:val="true"/>
        </w:rPr>
        <w:t>ביקש להתחשב בכך שביצע את העבירות כשהוא על גבול גיל הקטינות</w:t>
      </w:r>
      <w:r>
        <w:rPr>
          <w:rtl w:val="true"/>
        </w:rPr>
        <w:t xml:space="preserve">, </w:t>
      </w:r>
      <w:r>
        <w:rPr>
          <w:rtl w:val="true"/>
        </w:rPr>
        <w:t>בתסקירו החיובי והודאתו הכנה ולמקמו בתחתית מתחם 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הודה שטעה ומוכן לקבל את העונש המגיע לו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 הוראות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בדרכו של עקרון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בית המשפט לקבוע מתחם עונש הולם למעשה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מתחשב בערך החברתי המוגן שנפגע ומידת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במדיניות הענישה הנהוגה ובנסיבותיה הקונקרטיות של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הבא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שנקבע מתחם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ובית המשפט לא מצא מקום לחרוג ממנו לקולא או 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העונש הראוי תוך התחשבות בנסיבות העושה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קצרה היריעה מלפרט את שנכתב רבות וארוכות בפסיקת בית המשפט העליון – עבירות הנשק</w:t>
      </w:r>
      <w:r>
        <w:rPr>
          <w:rtl w:val="true"/>
        </w:rPr>
        <w:t xml:space="preserve">, </w:t>
      </w:r>
      <w:r>
        <w:rPr>
          <w:rtl w:val="true"/>
        </w:rPr>
        <w:t>על כל סוגיהן ומיניהן</w:t>
      </w:r>
      <w:r>
        <w:rPr>
          <w:rtl w:val="true"/>
        </w:rPr>
        <w:t xml:space="preserve">, </w:t>
      </w:r>
      <w:r>
        <w:rPr>
          <w:rtl w:val="true"/>
        </w:rPr>
        <w:t>הפכו ל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קשה ומגלמות סכנה ממשית לשלום הציבור ולביטחונו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נרתמו בתי המשפט למאבק בתופעה</w:t>
      </w:r>
      <w:r>
        <w:rPr>
          <w:rtl w:val="true"/>
        </w:rPr>
        <w:t xml:space="preserve">, </w:t>
      </w:r>
      <w:r>
        <w:rPr>
          <w:rtl w:val="true"/>
        </w:rPr>
        <w:t>ובשנים האחרונות ניכרת מגמת החמרה בענישה לצורך מיגור עבירות אלו</w:t>
      </w:r>
      <w:r>
        <w:rPr>
          <w:rtl w:val="true"/>
        </w:rPr>
        <w:t xml:space="preserve">, </w:t>
      </w:r>
      <w:r>
        <w:rPr>
          <w:rtl w:val="true"/>
        </w:rPr>
        <w:t>תוך מתן משקל לשיקולי הרתעה</w:t>
      </w:r>
      <w:r>
        <w:rPr>
          <w:rtl w:val="true"/>
        </w:rPr>
        <w:t xml:space="preserve">, </w:t>
      </w:r>
      <w:r>
        <w:rPr>
          <w:rtl w:val="true"/>
        </w:rPr>
        <w:t>אף אם הנאשמים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קדורה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בתי המשפט עמדו</w:t>
      </w:r>
      <w:r>
        <w:rPr>
          <w:rtl w:val="true"/>
        </w:rPr>
        <w:t xml:space="preserve">, </w:t>
      </w:r>
      <w:r>
        <w:rPr>
          <w:rtl w:val="true"/>
        </w:rPr>
        <w:t>חזור ושנה</w:t>
      </w:r>
      <w:r>
        <w:rPr>
          <w:rtl w:val="true"/>
        </w:rPr>
        <w:t xml:space="preserve">, </w:t>
      </w:r>
      <w:r>
        <w:rPr>
          <w:rtl w:val="true"/>
        </w:rPr>
        <w:t>על החומרה הרבה הגלומה בהחזקת נשק שלא כדין המצריכה מענה הולם בדמות עונשי מאסר משמעותיים</w:t>
      </w:r>
      <w:r>
        <w:rPr>
          <w:rtl w:val="true"/>
        </w:rPr>
        <w:t>.  "</w:t>
      </w:r>
      <w:r>
        <w:rPr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המחזיק בו נתון תמיד לחשש שיתפתה לעשות בו 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 ברגעי  לחץ ופחד</w:t>
      </w:r>
      <w:r>
        <w:rPr>
          <w:rtl w:val="true"/>
        </w:rPr>
        <w:t>"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 אלכרים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</w:rPr>
          <w:t>147/21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ביטון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 xml:space="preserve">פסקה </w:t>
      </w:r>
      <w:r>
        <w:rPr>
          <w:color w:val="000000"/>
          <w:spacing w:val="10"/>
        </w:rPr>
        <w:t>10</w:t>
      </w:r>
      <w:r>
        <w:rPr>
          <w:color w:val="000000"/>
          <w:spacing w:val="10"/>
          <w:rtl w:val="true"/>
        </w:rPr>
        <w:t xml:space="preserve">  (</w:t>
      </w:r>
      <w:r>
        <w:rPr>
          <w:color w:val="000000"/>
          <w:spacing w:val="10"/>
        </w:rPr>
        <w:t>14.2.2021</w:t>
      </w:r>
      <w:r>
        <w:rPr>
          <w:color w:val="000000"/>
          <w:spacing w:val="10"/>
          <w:rtl w:val="true"/>
        </w:rPr>
        <w:t>)).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color w:val="000000"/>
          <w:spacing w:val="10"/>
          <w:rtl w:val="true"/>
        </w:rPr>
        <w:t>מגמה זו לידי ביטוי גם בחקיקה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 xml:space="preserve">במסגרת תיקון </w:t>
      </w:r>
      <w:r>
        <w:rPr>
          <w:color w:val="000000"/>
          <w:spacing w:val="10"/>
        </w:rPr>
        <w:t>140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לחוק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בו נקבעו עונשי מינימום לעבירות נשק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באופן שככלל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העונש שיושת בגין עבירות אלו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 xml:space="preserve">לא יפחת מרבע העונש המרבי שנקבע לעבירה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ראו</w:t>
      </w:r>
      <w:r>
        <w:rPr>
          <w:color w:val="000000"/>
          <w:spacing w:val="10"/>
          <w:rtl w:val="true"/>
        </w:rPr>
        <w:t xml:space="preserve">: </w:t>
      </w:r>
      <w:hyperlink r:id="rId16">
        <w:r>
          <w:rPr>
            <w:rStyle w:val="Hyperlink"/>
            <w:color w:val="0000FF"/>
            <w:spacing w:val="10"/>
            <w:u w:val="single"/>
            <w:rtl w:val="true"/>
          </w:rPr>
          <w:t>חוק העונשין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 xml:space="preserve">תיקון </w:t>
      </w:r>
      <w:r>
        <w:rPr>
          <w:color w:val="000000"/>
          <w:spacing w:val="10"/>
        </w:rPr>
        <w:t>140</w:t>
      </w:r>
      <w:r>
        <w:rPr>
          <w:color w:val="000000"/>
          <w:spacing w:val="10"/>
          <w:rtl w:val="true"/>
        </w:rPr>
        <w:t xml:space="preserve"> – </w:t>
      </w:r>
      <w:r>
        <w:rPr>
          <w:color w:val="000000"/>
          <w:spacing w:val="10"/>
          <w:rtl w:val="true"/>
        </w:rPr>
        <w:t>הוראת שעה</w:t>
      </w:r>
      <w:r>
        <w:rPr>
          <w:color w:val="000000"/>
          <w:spacing w:val="10"/>
          <w:rtl w:val="true"/>
        </w:rPr>
        <w:t xml:space="preserve">), </w:t>
      </w:r>
      <w:r>
        <w:rPr>
          <w:color w:val="000000"/>
          <w:spacing w:val="10"/>
          <w:rtl w:val="true"/>
        </w:rPr>
        <w:t>התשפ</w:t>
      </w:r>
      <w:r>
        <w:rPr>
          <w:color w:val="000000"/>
          <w:spacing w:val="10"/>
          <w:rtl w:val="true"/>
        </w:rPr>
        <w:t>"</w:t>
      </w:r>
      <w:r>
        <w:rPr>
          <w:color w:val="000000"/>
          <w:spacing w:val="10"/>
          <w:rtl w:val="true"/>
        </w:rPr>
        <w:t>ב</w:t>
      </w:r>
      <w:r>
        <w:rPr>
          <w:color w:val="000000"/>
          <w:spacing w:val="10"/>
          <w:rtl w:val="true"/>
        </w:rPr>
        <w:t>-</w:t>
      </w:r>
      <w:r>
        <w:rPr>
          <w:color w:val="000000"/>
          <w:spacing w:val="10"/>
        </w:rPr>
        <w:t>2021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ס</w:t>
      </w:r>
      <w:r>
        <w:rPr>
          <w:color w:val="000000"/>
          <w:spacing w:val="10"/>
          <w:rtl w:val="true"/>
        </w:rPr>
        <w:t>"</w:t>
      </w:r>
      <w:r>
        <w:rPr>
          <w:color w:val="000000"/>
          <w:spacing w:val="10"/>
          <w:rtl w:val="true"/>
        </w:rPr>
        <w:t xml:space="preserve">ח </w:t>
      </w:r>
      <w:r>
        <w:rPr>
          <w:color w:val="000000"/>
          <w:spacing w:val="10"/>
        </w:rPr>
        <w:t>2938</w:t>
      </w:r>
      <w:r>
        <w:rPr>
          <w:color w:val="000000"/>
          <w:spacing w:val="10"/>
          <w:rtl w:val="true"/>
        </w:rPr>
        <w:t xml:space="preserve">). </w:t>
      </w:r>
      <w:r>
        <w:rPr>
          <w:color w:val="000000"/>
          <w:spacing w:val="10"/>
          <w:rtl w:val="true"/>
        </w:rPr>
        <w:t>אומנם הוראותיו של תיקון זה אינם חלים בענייננו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אך יש בהן כדי להמחיש את מגמת ההחמרה בענישה על עבירות הנשק גם בהיבט החקיקתי</w:t>
      </w:r>
      <w:r>
        <w:rPr>
          <w:color w:val="000000"/>
          <w:spacing w:val="10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מעשיו של הנאשם פגעו פגיעה מוחשית בערכים המוגנים של שמירה על חיי אדם ושלמות גופו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ascii="Times New Roman" w:hAnsi="Times New Roman" w:cs="Times New Roman"/>
          <w:b/>
          <w:b/>
          <w:bCs/>
          <w:rtl w:val="true"/>
        </w:rPr>
        <w:t>רכש</w:t>
      </w:r>
      <w:r>
        <w:rPr>
          <w:rFonts w:ascii="Times New Roman" w:hAnsi="Times New Roman" w:cs="Times New Roman"/>
          <w:rtl w:val="true"/>
        </w:rPr>
        <w:t xml:space="preserve"> מספר לא מבוטל של כלי נשק ותחמושת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ושמר אותם בחזקתו משך תקופה לא קצרה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לחומרה אציין את הסכנה הטמונה בהחזקת כלי הנשק במקומות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באופן בו אחרים יכולים לאתרם ולעשות בהם שימוש בלתי חוקי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כך ברכב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שבעליו הרשום הוא אביו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ובנקל ייתכן שאחרים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פרט לנאשם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יעשו בו שימוש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וכך בביתו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מתגוררים בני משפחה נוספים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אחיו הקטנים בני העשרה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357" w:start="714" w:end="0"/>
        <w:jc w:val="both"/>
        <w:textAlignment w:val="baseline"/>
        <w:rPr>
          <w:rFonts w:ascii="David" w:hAnsi="David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לסוגי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שהחזיק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רובה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סער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קאלצ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>'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ניקוב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התקפי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שפוטנציאל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הגלום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במיוחד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חצי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אוטומטי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u w:val="single"/>
        </w:rPr>
        <w:t>FEG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שמסוכנותו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פחותה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מעט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שבכוחו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אדם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רימון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גז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שלימים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התברר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בחוות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מעבדת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תקין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אמת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כוונת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לקניית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רימון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תקין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אביזרים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תואמת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עשרות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מסוגים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שונים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נפסק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התחמושת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אינטגרלי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ירי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הרב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שבהחזקתה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hyperlink r:id="rId17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587/22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נאעסה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pacing w:val="0"/>
          <w:sz w:val="24"/>
          <w:szCs w:val="24"/>
        </w:rPr>
        <w:t>22.5.2022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ביצוע העבירה והרקע לביצוען נותרו עמומים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הובהר מדוע הנאשם רכש ארסנל נשק ותחמושת תואמת וחזקה שעשה כן כדי לעשות בהם שימוש שלא כדין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פגיעת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המוגן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מובילה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הבינוני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נתתי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דעתי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לריבוי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מסוגים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שונים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ותואמת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;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ההחזקה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לחשיבה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ולתכנון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מקומות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הטמנת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הנשק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ולאחר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מכן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במקומות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בביתו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במזוודה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אינדקציה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לשימוש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לתכנון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באמצעותו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start="720"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את מעשי הנאשם יש לראות כאירוע עונשי אחד ואין 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כעתירת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לפיצול מלאכותי של המעשה לשני אירועים של החזקת אקדח והחזקת נשק התקפי ולקביעת שני מתחמים נפרדים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הדרך הנכונה היא להציג ענישה במקרים דומים שבהם הוחזקו מספר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>מדיניות הענישה הנוהגת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tl w:val="true"/>
        </w:rPr>
        <w:t>מגמת ההחמרה משתקפת גם בעונשים שמוטלים על המבצעים עבירות בנשק נעדרי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כך נקבע </w:t>
      </w:r>
      <w:r>
        <w:rPr>
          <w:u w:val="single"/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29.3.2004</w:t>
      </w:r>
      <w:r>
        <w:rPr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 הטמונה בעבירה 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 המשפט לשקול את הענישה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נסיבות האישיות של העבריין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 xml:space="preserve">עוד ראו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13.3.2016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>
          <w:rtl w:val="true"/>
        </w:rPr>
        <w:t xml:space="preserve">מיום </w:t>
      </w:r>
      <w:r>
        <w:rPr/>
        <w:t>22.11.2020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), </w:t>
      </w:r>
      <w:r>
        <w:rPr>
          <w:rtl w:val="true"/>
        </w:rPr>
        <w:t>החמור מעט מהמקרה  שלפנינו</w:t>
      </w:r>
      <w:r>
        <w:rPr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הורשע 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נעדר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בעבירות החזקת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נשיאותו והובלתו – רובה מסוג קלצ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ניקוב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מחסנית תואמת ומלאה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אקדח חצי אוטומטי טעון במחסנית תואמת עם </w:t>
      </w:r>
      <w:r>
        <w:rPr>
          <w:rFonts w:cs="Times New Roman" w:ascii="Times New Roman" w:hAnsi="Times New Roman"/>
        </w:rPr>
        <w:t>27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כדורים וכדור נוסף בקנה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ומחסנית נוספת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עונשי הנע בין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54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 הנאשם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 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 המדינה התקבל ועונשו הוחמר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;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147/21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ירין ביטון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14.2.2021</w:t>
      </w:r>
      <w:r>
        <w:rPr>
          <w:rFonts w:cs="Times New Roman" w:ascii="Times New Roman" w:hAnsi="Times New Roman"/>
          <w:rtl w:val="true"/>
        </w:rPr>
        <w:t xml:space="preserve">) – </w:t>
      </w:r>
      <w:r>
        <w:rPr>
          <w:rFonts w:ascii="Times New Roman" w:hAnsi="Times New Roman" w:cs="Times New Roman"/>
          <w:rtl w:val="true"/>
        </w:rPr>
        <w:t>הורשע נאשם בעל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הודאתו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בעבירת רכישת והחזקת נשק – אקדח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תחמושת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לבנת חבלה ונפץ ונגזרו עליו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 שהוגש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י הדינה התקבל ועונשו הוחמר והוכפל למאסר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שנים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כשבית המשפט העליון </w:t>
        </w:r>
      </w:hyperlink>
      <w:r>
        <w:rPr>
          <w:rFonts w:ascii="Times New Roman" w:hAnsi="Times New Roman" w:cs="Times New Roman"/>
          <w:rtl w:val="true"/>
        </w:rPr>
        <w:t xml:space="preserve"> מבהיר בפסק דינו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גזר הדין קמא אף עומד בסתירה למדיניות ההחמרה עם עברייני נשק לסוגיהם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אשר נקוטה בידינו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 – </w:t>
      </w:r>
      <w:r>
        <w:rPr>
          <w:rtl w:val="true"/>
        </w:rPr>
        <w:t>נדחה ערעורו של מערער בעל עבר שאינו מכביד</w:t>
      </w:r>
      <w:r>
        <w:rPr>
          <w:rtl w:val="true"/>
        </w:rPr>
        <w:t xml:space="preserve">, </w:t>
      </w:r>
      <w:r>
        <w:rPr>
          <w:rtl w:val="true"/>
        </w:rPr>
        <w:t>שהורשע בהחזקת שני אקדחים ברכבו</w:t>
      </w:r>
      <w:r>
        <w:rPr>
          <w:rtl w:val="true"/>
        </w:rPr>
        <w:t xml:space="preserve">, </w:t>
      </w:r>
      <w:r>
        <w:rPr>
          <w:rtl w:val="true"/>
        </w:rPr>
        <w:t>שירות המבחן המליץ להסתפק בענישה שיקומית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שנע בין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ונגזרו עליו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עוד מייחסת הפסיקה משנה חומרה </w:t>
      </w:r>
      <w:r>
        <w:rPr>
          <w:rFonts w:ascii="Times New Roman" w:hAnsi="Times New Roman" w:cs="Times New Roman"/>
          <w:u w:val="single"/>
          <w:rtl w:val="true"/>
        </w:rPr>
        <w:t>להחזקת נשק התקפי מסוג רובה סער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1695/22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מוחמד גנאים ואח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29.3.2022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הוחמר עונשו של נאשם שהחזיק תת מקלע מאולתר בתצורה של רובה סער </w:t>
      </w:r>
      <w:r>
        <w:rPr>
          <w:rFonts w:cs="Times New Roman" w:ascii="Times New Roman" w:hAnsi="Times New Roman"/>
        </w:rPr>
        <w:t>M16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מחסנית מאולתרת תואמת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צעיר ללא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העליון קיבל את ערעור המדינה והעמיד את עונשו על </w:t>
      </w:r>
      <w:r>
        <w:rPr>
          <w:rFonts w:cs="Times New Roman" w:ascii="Times New Roman" w:hAnsi="Times New Roman"/>
          <w:b/>
          <w:bCs/>
        </w:rPr>
        <w:t>22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בסוג הנשק שהוגדר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ארוך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אוטומטי ובעל פוטנציאל קטלני גבוה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ב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עסא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11.7.2019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נדחה ערעורו של נאשם 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עבר ובעל סיכויי שיקום</w:t>
      </w:r>
      <w:r>
        <w:rPr>
          <w:rFonts w:cs="Times New Roman" w:ascii="Times New Roman" w:hAnsi="Times New Roman"/>
          <w:rtl w:val="true"/>
        </w:rPr>
        <w:t>,</w:t>
      </w:r>
      <w:r>
        <w:rPr>
          <w:rFonts w:ascii="Times New Roman" w:hAnsi="Times New Roman" w:cs="Times New Roman"/>
          <w:rtl w:val="true"/>
        </w:rPr>
        <w:t>שהורשע בהחזקת נשק אוטומטי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קבע מתחם עונשי שנע בין </w:t>
      </w:r>
      <w:r>
        <w:rPr>
          <w:rFonts w:cs="Times New Roman" w:ascii="Times New Roman" w:hAnsi="Times New Roman"/>
        </w:rPr>
        <w:t>15-36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עליו </w:t>
      </w:r>
      <w:r>
        <w:rPr>
          <w:rFonts w:cs="Times New Roman" w:ascii="Times New Roman" w:hAnsi="Times New Roman"/>
          <w:b/>
          <w:bCs/>
        </w:rPr>
        <w:t>18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3850/20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אל מוגרבי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29.11.2020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הורשע המערער בהחזקת רובה סער במתחם ביתו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ענישה שנע בין </w:t>
      </w:r>
      <w:r>
        <w:rPr>
          <w:rFonts w:cs="Times New Roman" w:ascii="Times New Roman" w:hAnsi="Times New Roman"/>
        </w:rPr>
        <w:t>12-36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עליו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ערעורו נדחה ואף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הענישה שהושתה עליו הינה על הצד המקל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במקרים אחרים בהם הורשעו נאשמים </w:t>
      </w:r>
      <w:r>
        <w:rPr>
          <w:rFonts w:ascii="Times New Roman" w:hAnsi="Times New Roman" w:cs="Times New Roman"/>
          <w:u w:val="single"/>
          <w:rtl w:val="true"/>
        </w:rPr>
        <w:t>בהחזקת אקדח לבדו</w:t>
      </w:r>
      <w:r>
        <w:rPr>
          <w:rFonts w:cs="Times New Roman" w:ascii="Times New Roman" w:hAnsi="Times New Roman"/>
          <w:u w:val="single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הענישה מתונה מעט אך מצויה במגמת החמרה</w:t>
      </w:r>
      <w:r>
        <w:rPr>
          <w:rFonts w:cs="Times New Roman" w:ascii="Times New Roman" w:hAnsi="Times New Roman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קדורה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>) –</w:t>
      </w:r>
      <w:r>
        <w:rPr>
          <w:rtl w:val="true"/>
        </w:rPr>
        <w:t>הורשע 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החזקת נשק בצוותא עם אחר – 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ורימון הלם אותם החזיק בביתו לתקופה קצרה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הנע בין </w:t>
      </w:r>
      <w:r>
        <w:rPr/>
        <w:t>10-36</w:t>
      </w:r>
      <w:r>
        <w:rPr>
          <w:rtl w:val="true"/>
        </w:rPr>
        <w:t xml:space="preserve"> </w:t>
      </w:r>
      <w:r>
        <w:rPr>
          <w:rtl w:val="true"/>
        </w:rPr>
        <w:t>חודשי מאסר וגזר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 הרשעות קודמות מאסר בתחתית המתחם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קיבל את ערעור המדינה </w:t>
      </w:r>
      <w:r>
        <w:rPr>
          <w:b/>
          <w:b/>
          <w:bCs/>
          <w:rtl w:val="true"/>
        </w:rPr>
        <w:t>והחמיר עונשו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;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5613/20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אלהוזייל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25.8.2020</w:t>
      </w:r>
      <w:r>
        <w:rPr>
          <w:rFonts w:cs="Times New Roman" w:ascii="Times New Roman" w:hAnsi="Times New Roman"/>
          <w:rtl w:val="true"/>
        </w:rPr>
        <w:t xml:space="preserve">)– </w:t>
      </w:r>
      <w:r>
        <w:rPr>
          <w:rFonts w:ascii="Times New Roman" w:hAnsi="Times New Roman" w:cs="Times New Roman"/>
          <w:rtl w:val="true"/>
        </w:rPr>
        <w:t>הורשע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בעל עבר פלילי שנסיבותיו קשות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בהחזקת אקדח ותחמושת מתאימה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מצא אותו בעל סיכויי שיקום והמליץ להסתפק בעבודות שירות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משפט השלום קבע מתחם עונשי שנע בין </w:t>
      </w:r>
      <w:r>
        <w:rPr>
          <w:rFonts w:cs="Times New Roman" w:ascii="Times New Roman" w:hAnsi="Times New Roman"/>
        </w:rPr>
        <w:t>11-33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</w:t>
      </w:r>
      <w:r>
        <w:rPr>
          <w:rFonts w:ascii="Times New Roman" w:hAnsi="Times New Roman" w:cs="Times New Roman"/>
          <w:b/>
          <w:b/>
          <w:bCs/>
          <w:rtl w:val="true"/>
        </w:rPr>
        <w:t>וגזר עליו שנת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 ובקשת רשות ערעור שהגיש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נדחו</w:t>
      </w:r>
      <w:r>
        <w:rPr>
          <w:rFonts w:cs="Times New Roman" w:ascii="Times New Roman" w:hAnsi="Times New Roman"/>
          <w:rtl w:val="true"/>
        </w:rPr>
        <w:t xml:space="preserve">;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6011/21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דסוקי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25.11.2021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נדחה ערעור של 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שהורשע בעבירה של החזקת  אקדח טעון על גופו ונדון למאסר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בן </w:t>
      </w:r>
      <w:r>
        <w:rPr>
          <w:rFonts w:cs="Times New Roman" w:ascii="Times New Roman" w:hAnsi="Times New Roman"/>
          <w:b/>
          <w:bCs/>
        </w:rPr>
        <w:t>13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חודשים</w:t>
      </w:r>
      <w:r>
        <w:rPr>
          <w:rFonts w:cs="Times New Roman" w:ascii="Times New Roman" w:hAnsi="Times New Roman"/>
          <w:b/>
          <w:bCs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התמונה העונשית המשתקפת מהפסיקה ברורה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המסר העונשי חד ונחרץ ולפיו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שומר נפשו ושלומו – ירחק מעבירות הנשק באשר הן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קלות כחמורות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פסק דינו של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אלרון</w:t>
      </w:r>
      <w:r>
        <w:rPr>
          <w:rFonts w:cs="Times New Roman" w:ascii="Times New Roman" w:hAnsi="Times New Roman"/>
          <w:rtl w:val="true"/>
        </w:rPr>
        <w:t xml:space="preserve">,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78/21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פלוני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26.7.2022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 xml:space="preserve">הפסיקה אינה מקלה עם נאשמים שזו להם הסתבכותם הראשונה וגילם צעיר ומבכרת </w:t>
      </w:r>
      <w:r>
        <w:rPr>
          <w:rtl w:val="true"/>
        </w:rPr>
        <w:t>את האינטרס הציבורי על פני אינטרס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 </w:t>
      </w:r>
      <w:r>
        <w:rPr>
          <w:rFonts w:ascii="Times New Roman" w:hAnsi="Times New Roman" w:cs="Times New Roman"/>
          <w:rtl w:val="true"/>
        </w:rPr>
        <w:t>זהו המסר העונשי שיש להפנים וליישם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אליה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מתונה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וכוללת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שיקום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63018-05-18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מחאמיד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24.10.2019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נשיאה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והובלת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ארוכים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וטעונים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שיקומי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ובסטייה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חדה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שנקבע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51473-05-20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עודי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חאד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יחיא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3.3.2022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מקלע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ומחסניות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תואמות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לענישת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שיקומית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19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5004/17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אלעטאונה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20.11.17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דומות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שהוחמר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למעשה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הוכפל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לשנת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עמו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מעשי הנאשם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 ומדיניות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אני קובעת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25-50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העונש המתאים לנאשם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 עבר פלילי</w:t>
      </w:r>
      <w:r>
        <w:rPr>
          <w:rtl w:val="true"/>
        </w:rPr>
        <w:t xml:space="preserve">, </w:t>
      </w:r>
      <w:r>
        <w:rPr>
          <w:rtl w:val="true"/>
        </w:rPr>
        <w:t>עצור חודשים רבים לראשונה בחייו</w:t>
      </w:r>
      <w:r>
        <w:rPr>
          <w:rtl w:val="true"/>
        </w:rPr>
        <w:t xml:space="preserve">. </w:t>
      </w:r>
      <w:r>
        <w:rPr>
          <w:rtl w:val="true"/>
        </w:rPr>
        <w:t>מתסקיר שירות המבחן עולה שהוא בן למשפחה נורמטיבית</w:t>
      </w:r>
      <w:r>
        <w:rPr>
          <w:rtl w:val="true"/>
        </w:rPr>
        <w:t xml:space="preserve">, </w:t>
      </w:r>
      <w:r>
        <w:rPr>
          <w:rtl w:val="true"/>
        </w:rPr>
        <w:t>ללא דפוסי התנהגות עברייניים ושוליים</w:t>
      </w:r>
      <w:r>
        <w:rPr>
          <w:rtl w:val="true"/>
        </w:rPr>
        <w:t xml:space="preserve">, </w:t>
      </w:r>
      <w:r>
        <w:rPr>
          <w:rtl w:val="true"/>
        </w:rPr>
        <w:t>כשהרקע לביצוע העבירות לא הובהר והמידע שמסר על אורח חייו חלקי ומצומצם</w:t>
      </w:r>
      <w:r>
        <w:rPr>
          <w:rtl w:val="true"/>
        </w:rPr>
        <w:t xml:space="preserve">. </w:t>
      </w:r>
      <w:r>
        <w:rPr>
          <w:rtl w:val="true"/>
        </w:rPr>
        <w:t>הנאשם נטל אחריות מלאה על מעשיו וניכר כי מעצרו והסתבכותו בתיק זה מהווים עבורו נקודת משבר וגורם מרתיע</w:t>
      </w:r>
      <w:r>
        <w:rPr>
          <w:rtl w:val="true"/>
        </w:rPr>
        <w:t xml:space="preserve">. </w:t>
      </w:r>
      <w:r>
        <w:rPr>
          <w:rtl w:val="true"/>
        </w:rPr>
        <w:t>שירות המבחן העריך שרמת הסיכון הנשקפת ממנו בינונית</w:t>
      </w:r>
      <w:r>
        <w:rPr>
          <w:rtl w:val="true"/>
        </w:rPr>
        <w:t xml:space="preserve">, </w:t>
      </w:r>
      <w:r>
        <w:rPr>
          <w:rtl w:val="true"/>
        </w:rPr>
        <w:t>לא בא בהמלצה שיקומית והמליץ לגזור עליו עונש מוחשי ומרתיע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באיזון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חומרת מעשיו ומנגד גילו הצעיר</w:t>
      </w:r>
      <w:r>
        <w:rPr>
          <w:rtl w:val="true"/>
        </w:rPr>
        <w:t xml:space="preserve">, </w:t>
      </w:r>
      <w:r>
        <w:rPr>
          <w:rtl w:val="true"/>
        </w:rPr>
        <w:t>עברו הנקי וחרטתו</w:t>
      </w:r>
      <w:r>
        <w:rPr>
          <w:rtl w:val="true"/>
        </w:rPr>
        <w:t xml:space="preserve">, </w:t>
      </w:r>
      <w:r>
        <w:rPr>
          <w:rtl w:val="true"/>
        </w:rPr>
        <w:t>מצאתי למקמו בחלק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עוד נתתי דעתי </w:t>
      </w:r>
      <w:r>
        <w:rPr>
          <w:b/>
          <w:b/>
          <w:bCs/>
          <w:rtl w:val="true"/>
        </w:rPr>
        <w:t>לשיקול הרתעת הרבים</w:t>
      </w:r>
      <w:r>
        <w:rPr>
          <w:rtl w:val="true"/>
        </w:rPr>
        <w:t xml:space="preserve">, </w:t>
      </w:r>
      <w:r>
        <w:rPr>
          <w:rtl w:val="true"/>
        </w:rPr>
        <w:t>נוכח שכיחותן של עבירות הנשק אשר הפכו למכת מדינה וצורך השעה להעברת מסר לעברייני נשק</w:t>
      </w:r>
      <w:r>
        <w:rPr>
          <w:rtl w:val="true"/>
        </w:rPr>
        <w:t xml:space="preserve">, </w:t>
      </w:r>
      <w:r>
        <w:rPr>
          <w:rtl w:val="true"/>
        </w:rPr>
        <w:t>שברובם דומים במאפייניהם לנאשם זה</w:t>
      </w:r>
      <w:r>
        <w:rPr>
          <w:rtl w:val="true"/>
        </w:rPr>
        <w:t xml:space="preserve">, </w:t>
      </w:r>
      <w:r>
        <w:rPr>
          <w:rtl w:val="true"/>
        </w:rPr>
        <w:t>באשר לחומרת 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</w:t>
      </w:r>
      <w:r>
        <w:rPr>
          <w:rtl w:val="true"/>
        </w:rPr>
        <w:t xml:space="preserve">החל מיום מעצרו </w:t>
      </w:r>
      <w:r>
        <w:rPr/>
        <w:t>24.10.21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עוון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1.12.22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bookmarkStart w:id="19" w:name="Nitan"/>
      <w:r>
        <w:rPr>
          <w:b/>
          <w:b/>
          <w:bCs/>
          <w:rtl w:val="true"/>
        </w:rPr>
        <w:t>ניתן והודע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9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אורית</w:t>
      </w:r>
      <w:r>
        <w:rPr>
          <w:rtl w:val="true"/>
        </w:rPr>
        <w:t xml:space="preserve"> </w:t>
      </w:r>
      <w:r>
        <w:rPr>
          <w:rtl w:val="true"/>
        </w:rPr>
        <w:t>שטורם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17856-11-21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מהראן בדיר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856-11-21"/>
    <w:docVar w:name="caseId" w:val="78775752"/>
    <w:docVar w:name="deriveClass" w:val="NGCS.Protocol.BL.Client.ProtocolBLClientCriminal"/>
    <w:docVar w:name="firstPageNumber" w:val="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893273"/>
    <w:docVar w:name="releaseSign" w:val="0"/>
    <w:docVar w:name="sittingDateTime" w:val="28/09/2022 09:30     "/>
    <w:docVar w:name="sittingId" w:val="93491345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74" TargetMode="External"/><Relationship Id="rId3" Type="http://schemas.openxmlformats.org/officeDocument/2006/relationships/hyperlink" Target="http://www.nevo.co.il/safrut/book/97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268880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20817891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8243273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safrut/book/974" TargetMode="External"/><Relationship Id="rId24" Type="http://schemas.openxmlformats.org/officeDocument/2006/relationships/hyperlink" Target="http://www.nevo.co.il/case/27491153" TargetMode="External"/><Relationship Id="rId25" Type="http://schemas.openxmlformats.org/officeDocument/2006/relationships/hyperlink" Target="http://www.nevo.co.il/case/28384637" TargetMode="External"/><Relationship Id="rId26" Type="http://schemas.openxmlformats.org/officeDocument/2006/relationships/hyperlink" Target="http://www.nevo.co.il/case/25528737" TargetMode="External"/><Relationship Id="rId27" Type="http://schemas.openxmlformats.org/officeDocument/2006/relationships/hyperlink" Target="http://www.nevo.co.il/case/28513828" TargetMode="External"/><Relationship Id="rId28" Type="http://schemas.openxmlformats.org/officeDocument/2006/relationships/hyperlink" Target="http://www.nevo.co.il/case/26913995" TargetMode="External"/><Relationship Id="rId29" Type="http://schemas.openxmlformats.org/officeDocument/2006/relationships/hyperlink" Target="http://www.nevo.co.il/case/27911638" TargetMode="External"/><Relationship Id="rId30" Type="http://schemas.openxmlformats.org/officeDocument/2006/relationships/hyperlink" Target="http://www.nevo.co.il/case/27305799" TargetMode="External"/><Relationship Id="rId31" Type="http://schemas.openxmlformats.org/officeDocument/2006/relationships/hyperlink" Target="http://www.nevo.co.il/case/24215692" TargetMode="External"/><Relationship Id="rId32" Type="http://schemas.openxmlformats.org/officeDocument/2006/relationships/hyperlink" Target="http://www.nevo.co.il/case/26696300" TargetMode="External"/><Relationship Id="rId33" Type="http://schemas.openxmlformats.org/officeDocument/2006/relationships/hyperlink" Target="http://www.nevo.co.il/case/2279113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2023-09-28T10:41:00Z</dcterms:created>
  <dc:creator> </dc:creator>
  <dc:description/>
  <cp:keywords/>
  <dc:language>en-IL</dc:language>
  <cp:lastModifiedBy>h1</cp:lastModifiedBy>
  <cp:lastPrinted>2022-09-28T11:40:00Z</cp:lastPrinted>
  <dcterms:modified xsi:type="dcterms:W3CDTF">2023-09-28T10:41:00Z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מהראן בדיר</vt:lpwstr>
  </property>
  <property fmtid="{D5CDD505-2E9C-101B-9397-08002B2CF9AE}" pid="4" name="BOOKLISTTMP1">
    <vt:lpwstr>974</vt:lpwstr>
  </property>
  <property fmtid="{D5CDD505-2E9C-101B-9397-08002B2CF9AE}" pid="5" name="CASESLISTTMP1">
    <vt:lpwstr>28513828:2;27894608;27911638:2;28152132;28452933;27305799:2;7791493;27309272:2;28268880;5852404;20817891;26888657;28243273;27491153;28384637;25528737;26913995;24215692;26696300;22791136</vt:lpwstr>
  </property>
  <property fmtid="{D5CDD505-2E9C-101B-9397-08002B2CF9AE}" pid="6" name="CITY">
    <vt:lpwstr>מרכז</vt:lpwstr>
  </property>
  <property fmtid="{D5CDD505-2E9C-101B-9397-08002B2CF9AE}" pid="7" name="DATE">
    <vt:lpwstr>20220928</vt:lpwstr>
  </property>
  <property fmtid="{D5CDD505-2E9C-101B-9397-08002B2CF9AE}" pid="8" name="ISABSTRACT">
    <vt:lpwstr>Y</vt:lpwstr>
  </property>
  <property fmtid="{D5CDD505-2E9C-101B-9397-08002B2CF9AE}" pid="9" name="JUDGE">
    <vt:lpwstr>מרב גרינברג</vt:lpwstr>
  </property>
  <property fmtid="{D5CDD505-2E9C-101B-9397-08002B2CF9AE}" pid="10" name="LAWLISTTMP1">
    <vt:lpwstr>70301/144.a</vt:lpwstr>
  </property>
  <property fmtid="{D5CDD505-2E9C-101B-9397-08002B2CF9AE}" pid="11" name="LAWYER">
    <vt:lpwstr>טל שילוני;רן שטרצר</vt:lpwstr>
  </property>
  <property fmtid="{D5CDD505-2E9C-101B-9397-08002B2CF9AE}" pid="12" name="NEWPARTA">
    <vt:lpwstr>17856</vt:lpwstr>
  </property>
  <property fmtid="{D5CDD505-2E9C-101B-9397-08002B2CF9AE}" pid="13" name="NEWPARTB">
    <vt:lpwstr>11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390020220928</vt:lpwstr>
  </property>
  <property fmtid="{D5CDD505-2E9C-101B-9397-08002B2CF9AE}" pid="19" name="TYPE_N_DATE">
    <vt:lpwstr>39020220928</vt:lpwstr>
  </property>
  <property fmtid="{D5CDD505-2E9C-101B-9397-08002B2CF9AE}" pid="20" name="WORDNUMPAGES">
    <vt:lpwstr>7</vt:lpwstr>
  </property>
</Properties>
</file>