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eastAsia="Tahoma" w:cs="Tahoma" w:ascii="Tahoma" w:hAnsi="Tahoma"/>
                <w:b/>
                <w:bCs/>
                <w:color w:val="000080"/>
                <w:sz w:val="20"/>
                <w:szCs w:val="20"/>
                <w:rtl w:val="true"/>
              </w:rPr>
              <w:t xml:space="preserve"> </w:t>
            </w: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בראשון לציון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1786-09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</w:t>
            </w:r>
            <w:r>
              <w:rPr>
                <w:b/>
                <w:bCs/>
                <w:sz w:val="26"/>
                <w:szCs w:val="26"/>
                <w:rtl w:val="true"/>
              </w:rPr>
              <w:t>.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.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תביעות 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 שלוחת איילון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אלטלב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11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אפריל </w:t>
            </w:r>
            <w:r>
              <w:rPr>
                <w:b/>
                <w:bCs/>
                <w:sz w:val="26"/>
                <w:szCs w:val="26"/>
              </w:rPr>
              <w:t>2010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8"/>
        <w:gridCol w:w="2796"/>
        <w:gridCol w:w="5918"/>
      </w:tblGrid>
      <w:tr>
        <w:trPr/>
        <w:tc>
          <w:tcPr>
            <w:tcW w:w="88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rFonts w:ascii="Arial" w:hAnsi="Arial" w:cs="Arial"/>
              </w:rPr>
            </w:pPr>
            <w:r>
              <w:rPr>
                <w:b/>
                <w:b/>
                <w:bCs/>
                <w:rtl w:val="true"/>
              </w:rPr>
              <w:t>בפני כב</w:t>
            </w:r>
            <w:r>
              <w:rPr>
                <w:b/>
                <w:bCs/>
                <w:rtl w:val="true"/>
              </w:rPr>
              <w:t xml:space="preserve">' </w:t>
            </w:r>
            <w:r>
              <w:rPr>
                <w:b/>
                <w:b/>
                <w:bCs/>
                <w:rtl w:val="true"/>
              </w:rPr>
              <w:t>סגן הנשיאה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השופט אברהם הימן</w:t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</w:rPr>
            </w:pPr>
            <w:bookmarkStart w:id="0" w:name="LastJudge"/>
            <w:bookmarkStart w:id="1" w:name="FirstAppellant"/>
            <w:bookmarkEnd w:id="0"/>
            <w:bookmarkEnd w:id="1"/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מאשימה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מ</w:t>
            </w:r>
            <w:r>
              <w:rPr>
                <w:b/>
                <w:bCs/>
                <w:rtl w:val="true"/>
              </w:rPr>
              <w:t>.</w:t>
            </w:r>
            <w:r>
              <w:rPr>
                <w:b/>
                <w:b/>
                <w:bCs/>
                <w:rtl w:val="true"/>
              </w:rPr>
              <w:t>י</w:t>
            </w:r>
            <w:r>
              <w:rPr>
                <w:b/>
                <w:bCs/>
                <w:rtl w:val="true"/>
              </w:rPr>
              <w:t xml:space="preserve">. </w:t>
            </w:r>
            <w:r>
              <w:rPr>
                <w:b/>
                <w:b/>
                <w:bCs/>
                <w:rtl w:val="true"/>
              </w:rPr>
              <w:t>תביעות ת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א שלוחת איילון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spacing w:lineRule="auto" w:line="360"/>
              <w:ind w:end="0"/>
              <w:jc w:val="both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/>
                <w:bCs/>
                <w:rtl w:val="true"/>
              </w:rPr>
              <w:t>נגד</w:t>
            </w:r>
          </w:p>
          <w:p>
            <w:pPr>
              <w:pStyle w:val="Normal"/>
              <w:spacing w:lineRule="auto" w:line="360"/>
              <w:ind w:end="0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cs="Arial" w:ascii="Arial" w:hAnsi="Arial"/>
                <w:b/>
                <w:bCs/>
                <w:rtl w:val="true"/>
              </w:rPr>
            </w:r>
          </w:p>
        </w:tc>
      </w:tr>
      <w:tr>
        <w:trPr/>
        <w:tc>
          <w:tcPr>
            <w:tcW w:w="2884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start="26"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ה</w:t>
            </w:r>
            <w:r>
              <w:rPr>
                <w:b/>
                <w:b/>
                <w:bCs/>
                <w:rtl w:val="true"/>
              </w:rPr>
              <w:t>נאשם</w:t>
            </w:r>
          </w:p>
        </w:tc>
        <w:tc>
          <w:tcPr>
            <w:tcW w:w="5918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start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 xml:space="preserve">דרור אלטלב </w:t>
            </w:r>
            <w:r>
              <w:rPr>
                <w:b/>
                <w:bCs/>
                <w:rtl w:val="true"/>
              </w:rPr>
              <w:t>(</w:t>
            </w:r>
            <w:r>
              <w:rPr>
                <w:b/>
                <w:b/>
                <w:bCs/>
                <w:rtl w:val="true"/>
              </w:rPr>
              <w:t>עציר</w:t>
            </w:r>
            <w:r>
              <w:rPr>
                <w:b/>
                <w:bCs/>
                <w:rtl w:val="true"/>
              </w:rPr>
              <w:t>)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&lt;</w:t>
      </w:r>
      <w:r>
        <w:rPr/>
        <w:t>#2#</w:t>
      </w:r>
      <w:r>
        <w:rPr>
          <w:rtl w:val="true"/>
        </w:rPr>
        <w:t>&gt;</w:t>
      </w:r>
    </w:p>
    <w:p>
      <w:pPr>
        <w:pStyle w:val="12"/>
        <w:spacing w:lineRule="auto" w:line="360"/>
        <w:ind w:end="0"/>
        <w:jc w:val="start"/>
        <w:rPr>
          <w:u w:val="none"/>
        </w:rPr>
      </w:pPr>
      <w:r>
        <w:rPr>
          <w:u w:val="none"/>
          <w:rtl w:val="true"/>
        </w:rPr>
        <w:t>נוכחים</w:t>
      </w:r>
      <w:r>
        <w:rPr>
          <w:u w:val="none"/>
          <w:rtl w:val="true"/>
        </w:rPr>
        <w:t>:</w:t>
      </w:r>
    </w:p>
    <w:p>
      <w:pPr>
        <w:pStyle w:val="Normal"/>
        <w:spacing w:lineRule="auto" w:line="360"/>
        <w:ind w:end="0"/>
        <w:jc w:val="start"/>
        <w:rPr/>
      </w:pPr>
      <w:bookmarkStart w:id="2" w:name="FirstLawyer"/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bookmarkEnd w:id="2"/>
      <w:r>
        <w:rPr>
          <w:rtl w:val="true"/>
        </w:rPr>
        <w:t xml:space="preserve"> המאשימה עו</w:t>
      </w:r>
      <w:r>
        <w:rPr>
          <w:rtl w:val="true"/>
        </w:rPr>
        <w:t>"</w:t>
      </w:r>
      <w:r>
        <w:rPr>
          <w:rtl w:val="true"/>
        </w:rPr>
        <w:t xml:space="preserve">ד שמוליק מלמד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  <w:t>הנאשם וב</w:t>
      </w:r>
      <w:r>
        <w:rPr>
          <w:rtl w:val="true"/>
        </w:rPr>
        <w:t>"</w:t>
      </w:r>
      <w:r>
        <w:rPr>
          <w:rtl w:val="true"/>
        </w:rPr>
        <w:t>כ עו</w:t>
      </w:r>
      <w:r>
        <w:rPr>
          <w:rtl w:val="true"/>
        </w:rPr>
        <w:t>"</w:t>
      </w:r>
      <w:r>
        <w:rPr>
          <w:rtl w:val="true"/>
        </w:rPr>
        <w:t xml:space="preserve">ד  בני שטיינברג </w:t>
      </w:r>
    </w:p>
    <w:p>
      <w:pPr>
        <w:pStyle w:val="David"/>
        <w:ind w:end="0"/>
        <w:jc w:val="both"/>
        <w:rPr/>
      </w:pPr>
      <w:r>
        <w:rPr>
          <w:rtl w:val="true"/>
        </w:rPr>
        <w:t>&lt;</w:t>
      </w:r>
      <w:r>
        <w:rPr/>
        <w:t>#5#</w:t>
      </w:r>
      <w:r>
        <w:rPr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u w:val="single"/>
        </w:rPr>
      </w:pPr>
      <w:bookmarkStart w:id="3" w:name="PsakDin"/>
      <w:bookmarkEnd w:id="3"/>
      <w:r>
        <w:rPr>
          <w:rFonts w:ascii="Arial" w:hAnsi="Arial" w:cs="Arial"/>
          <w:b/>
          <w:b/>
          <w:bCs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  <w:rtl w:val="true"/>
        </w:rPr>
      </w:r>
      <w:bookmarkStart w:id="4" w:name="PsakDin"/>
      <w:bookmarkStart w:id="5" w:name="PsakDin"/>
      <w:bookmarkEnd w:id="5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tl w:val="true"/>
        </w:rPr>
        <w:t xml:space="preserve"> </w:t>
      </w:r>
      <w:bookmarkStart w:id="6" w:name="ABSTRACT_START"/>
      <w:bookmarkEnd w:id="6"/>
      <w:r>
        <w:rPr>
          <w:rFonts w:ascii="Arial" w:hAnsi="Arial" w:cs="Arial"/>
          <w:rtl w:val="true"/>
        </w:rPr>
        <w:t>גזר דין זה הוא בעקבות הסדר טיעון לפיו כתב האישום המקורי שהוגש נגד הנאשם 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באופן שהתביעה יחסה לנאשם שתי עבירות של סחר בסמים ועבירה אחת של החזקת סם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בשלושה אישומים שונים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על פי כתב האישום הכולל שלושה אישומים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מכר הנאשם סם מסוג חשיש במשקל של </w:t>
      </w:r>
      <w:r>
        <w:rPr>
          <w:rFonts w:cs="Arial" w:ascii="Arial" w:hAnsi="Arial"/>
        </w:rPr>
        <w:t>8.8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ברוטו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 xml:space="preserve">וקיבל תמורת הסם סך של </w:t>
      </w:r>
      <w:r>
        <w:rPr>
          <w:rFonts w:cs="Arial" w:ascii="Arial" w:hAnsi="Arial"/>
        </w:rPr>
        <w:t>300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''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באישום השני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ייחסה התביעה לנאשם מכירת סם מסוג חשיש במשקל </w:t>
      </w:r>
      <w:r>
        <w:rPr>
          <w:rFonts w:cs="Arial" w:ascii="Arial" w:hAnsi="Arial"/>
        </w:rPr>
        <w:t>18.37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 xml:space="preserve">וקיבל תמורת הסם שמכר סך של </w:t>
      </w:r>
      <w:r>
        <w:rPr>
          <w:rFonts w:cs="Arial" w:ascii="Arial" w:hAnsi="Arial"/>
        </w:rPr>
        <w:t>600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''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ואילו באישום השלישי ייחסה התביעה לנאשם החזקת סם מסוג חשיש לצריכה עצמית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במשקל </w:t>
      </w:r>
      <w:r>
        <w:rPr>
          <w:rFonts w:cs="Arial" w:ascii="Arial" w:hAnsi="Arial"/>
        </w:rPr>
        <w:t>64.8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גר</w:t>
      </w:r>
      <w:r>
        <w:rPr>
          <w:rFonts w:cs="Arial" w:ascii="Arial" w:hAnsi="Arial"/>
          <w:rtl w:val="true"/>
        </w:rPr>
        <w:t xml:space="preserve">'. </w:t>
      </w:r>
      <w:r>
        <w:rPr>
          <w:rFonts w:ascii="Arial" w:hAnsi="Arial" w:cs="Arial"/>
          <w:rtl w:val="true"/>
        </w:rPr>
        <w:t>יצויין כי שתי מכירות הסם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הן למעשה קנייה מבוימת של הסם על ידי שוטר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שהתחזה כצרכן סמים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כאמור הנאשם הודה בביצוע העבירות הללו בהסדר טיעון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על פי ההסדר בטרם טיעונים לעונש הוסכם כי יתקבל תסקיר משירות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הצדדים הסכימו כי לאחר שיתקבל תסקיר כאמור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ישוחחו הצדדים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שירות המבחן הגיש שני תסקירים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בראשון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לאחר ניתוח עובדות ונסיבות רלבנטיות נתבקשה דחיה לצורך מעקב אחר התקדמות הנאשם בטיפול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ובשני תסקיר משלים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הדיון נדחה עד אשר ביום </w:t>
      </w:r>
      <w:r>
        <w:rPr>
          <w:rFonts w:cs="Arial" w:ascii="Arial" w:hAnsi="Arial"/>
        </w:rPr>
        <w:t>22.3.10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טענו הצדדים לעונש כאשר שני התסקירים כאמור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עמדו לנגד עיניהם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מטעמים ברורים לא מצאתי לצטט מהאמור בתסקירים אלא אומר אך בקצרה ששירות המבחן ליווה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תוך פיקוח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תהליך שיקומי של קבוצת טיפול בנפגעי 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התרשם כי מדובר בבחור ילדותי בעל רקע התמכרות לסמים מסוג קנאביס אשר גדל במשפחה מורכבת בצד חסכים ואלימות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שירות המבחן ממליץ להעמיד הנאשם במבחן ולהאריך המאסר המותנה החל על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לחייב הנאשם בשירות לתועלת הציבור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בא כוח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מבקש כי בית המשפט יקבל המלצות שירות המבחן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התובע ביקש להחמיר עם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כשהוא מדגיש עברו הפלילי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המאסר המותנה החל עליו וחומרת העבירות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מצאתי להתחיל בעברו הפלילי של הנאשם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עברו הפלילי של הנאשם מכביד ביותר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שכן למרות גילו הצעיר – יליד </w:t>
      </w:r>
      <w:r>
        <w:rPr>
          <w:rFonts w:cs="Arial" w:ascii="Arial" w:hAnsi="Arial"/>
        </w:rPr>
        <w:t>1980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צבר הרשעות בעבירות רבות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הנאשם החל דרכו בפלילים בבית משפט לנוער עת נדון פעמיים בגין עבירות רכוש שונות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היזק לרכוש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נסיון פריצה לבנין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וכן עבירות תקיפה והחזקת סכין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בית המשפט לנוער לא הרשיע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מן הסתם מתוך מגמה שיש עמה תקוה כי הנאשם יפיק הלקח מההליך הפלילי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אלא שהנאשם לא למד לקחו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ולמד לקח שלילי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והוא שדרך הפשיעה היא דרכו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שכן אחר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נדון הנאשם שלוש פעמים ובפעם האחרונה אף נדון למאסר בפועל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כפי שציינתי ברבים מגזרי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אני בדרך כלל נותן משקל רב להמלצות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אלא שבמקרה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מצאתי לקבל המלצות שירות המבחן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כידוע</w:t>
      </w:r>
      <w:r>
        <w:rPr>
          <w:rFonts w:cs="Arial" w:ascii="Arial" w:hAnsi="Arial"/>
          <w:rtl w:val="true"/>
        </w:rPr>
        <w:t xml:space="preserve">,  </w:t>
      </w:r>
      <w:r>
        <w:rPr>
          <w:rFonts w:ascii="Arial" w:hAnsi="Arial" w:cs="Arial"/>
          <w:rtl w:val="true"/>
        </w:rPr>
        <w:t>המלצות שירות המבחן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ודרך פועלו המבורכת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יש והם כלי יעיל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ראוי ונחוץ ביותר לבית המשפט על מנת ליתן החלטות מושכלות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אלא ששירות המבחן שוקל שיקולים מסוימים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שאינם בהכרח ברוחב שיקול דעתו של 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רוצה לומר שבבוא בית המשפט לגזור דינו של אדם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הרי מעבר לשיקולים האישיים של הנאשם ובתוך 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שיקולי שיקומו של העבריין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שוקל בית המשפט שיקול רחב של האינטרס הציבורי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האינטרס הציבורי שבענישת סוחרי הסמים הוא להחמיר בענישה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מכה היא ואין צורך להכביר מילים אודותיה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מכת הסמים הפוגעת בכל חלקה טובה הורסת וממאירה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ביושבינו בדין חוזים אנו מדי 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בכל אלה העוברים עבירות ופוגעים ברכושו של הציבור ובשלומו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לרבות עבירות אלימות רבות על רקע שימוש בסמים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והנה בא לפנינו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היווה חוליה בהפצת הרעל בקרב הציבור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ולמעשה מהווה הוא חלק מהתהליך הממאיר שבהפצת הסמים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מעבר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המחוקק מצא להחמיר בעבירות של סחר בסמים באופן שקבע עונש של עשרים שנות מאסר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רוצה לומר מהחמורים שבעונשים אשר בספר החוקים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ובכך הביע המחוקק כוונתו באשר לחומרת העבירה להחמרה שיש בענישה על עבירות אלו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וכאן אני שואל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היעלה על הדעת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ואיזה מסר נעביר לציבור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שבית המשפט יגזור דינו של  אדם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אשר לו עבר פלילי מכביד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העובר עבירות מן החמורות כאמור שבספר החוקים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למעשה ללא עונש ממשי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איני מקבל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שהארכת מאסר מותנה בצמוד לשל</w:t>
      </w:r>
      <w:r>
        <w:rPr>
          <w:rFonts w:cs="Arial" w:ascii="Arial" w:hAnsi="Arial"/>
          <w:rtl w:val="true"/>
        </w:rPr>
        <w:t>''</w:t>
      </w:r>
      <w:r>
        <w:rPr>
          <w:rFonts w:ascii="Arial" w:hAnsi="Arial" w:cs="Arial"/>
          <w:rtl w:val="true"/>
        </w:rPr>
        <w:t>צ היא הדרך ראויה לסיים ההליכים שלפני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המסר שיועבר לציבור בענישה מקלה זו יהא שלילי ביותר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בתשובה לשאלה ששאלתי את נציג התביעה באשר לעמדתם העונשית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שמא עותרים למאסר שיבחן ריצויו בעבודות שירות השיב נחרצות ונראה ברור כי עמדה זו באה לאחר שיקול דעת מעמיק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כי עמדת התביעה היא למאסר בפועל ממש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אף אני סבור כי במקרה 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העונש הראוי הוא מאסר בפועל ממש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ואלה העונשים שאני משית על הנאשם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אני מורה על הפעלת המאסר המותנה שהושת על הנאשם ב</w:t>
      </w:r>
      <w:hyperlink r:id="rId2">
        <w:r>
          <w:rPr>
            <w:rStyle w:val="Hyperlink"/>
            <w:rFonts w:ascii="Arial" w:hAnsi="Arial" w:cs="Arial"/>
            <w:rtl w:val="true"/>
          </w:rPr>
          <w:t xml:space="preserve">תיק פלילי </w:t>
        </w:r>
        <w:r>
          <w:rPr>
            <w:rStyle w:val="Hyperlink"/>
            <w:rFonts w:cs="Arial" w:ascii="Arial" w:hAnsi="Arial"/>
          </w:rPr>
          <w:t>7937/02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של בית משפט השלום בתל אביב יפו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למשך ששה חודשים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בגזר דין מיום </w:t>
      </w:r>
      <w:r>
        <w:rPr>
          <w:rFonts w:cs="Arial" w:ascii="Arial" w:hAnsi="Arial"/>
        </w:rPr>
        <w:t>31.1.09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בגין העבירות בהם הורשע בהליכים שלפני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גוזר על הנאשם עונש מאסר למשך </w:t>
      </w:r>
      <w:r>
        <w:rPr>
          <w:rFonts w:cs="Arial" w:ascii="Arial" w:hAnsi="Arial"/>
        </w:rPr>
        <w:t>12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עונשי המאסר הללו ירוצו במצטבר באופן שעונש המאסר הכולל שאני משית על הנאשם הוא של </w:t>
      </w: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אני גוזר על הנאשם עונש של 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והתנאי הוא שבמשך שלוש שנים מיום שחרור הנאשם ממאסר לא יעבור עבירה על פקודת הסמים מסוג פשע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וכן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עונש של </w:t>
      </w:r>
      <w:r>
        <w:rPr>
          <w:rFonts w:cs="Arial" w:ascii="Arial" w:hAnsi="Arial"/>
        </w:rPr>
        <w:t>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על תנאי והתנאי הוא שבמשך שלוש שנים מיום שחרור הנאשם ממאסר לא יעבור עבירה על פקודת הסמים מסוג עוון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אני פוסל הנאשם מלקבל או להחזיק רשיון נהיגה לרכב מנועי לתקופה של </w:t>
      </w: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הובהר לנאשם כי על פי הוראות הדין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עליו להפקיד רשיונו או להצהיר בהתאם אם אין לו רשיון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שאם לא כן לא יחל מירוץ הפסילה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בנסיבות המקרה לנוכח תקופת המאסר שגזרתי על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איני גוזר על הנאשם עונש של קנס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מוצג </w:t>
      </w:r>
      <w:r>
        <w:rPr>
          <w:rFonts w:cs="Arial" w:ascii="Arial" w:hAnsi="Arial"/>
          <w:rtl w:val="true"/>
        </w:rPr>
        <w:t xml:space="preserve">- </w:t>
      </w:r>
      <w:r>
        <w:rPr>
          <w:rFonts w:ascii="Arial" w:hAnsi="Arial" w:cs="Arial"/>
          <w:rtl w:val="true"/>
        </w:rPr>
        <w:t>הסמים יושמדו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זכות ערעור במשך </w:t>
      </w:r>
      <w:r>
        <w:rPr>
          <w:rFonts w:cs="Arial" w:ascii="Arial" w:hAnsi="Arial"/>
        </w:rPr>
        <w:t>45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ימים מהיום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  <w:t>&lt;</w:t>
      </w:r>
      <w:r>
        <w:rPr>
          <w:rFonts w:cs="Arial" w:ascii="Arial" w:hAnsi="Arial"/>
        </w:rPr>
        <w:t>#6#</w:t>
      </w:r>
      <w:r>
        <w:rPr>
          <w:rFonts w:cs="Arial" w:ascii="Arial" w:hAnsi="Arial"/>
          <w:rtl w:val="true"/>
        </w:rPr>
        <w:t>&gt;</w:t>
      </w:r>
    </w:p>
    <w:p>
      <w:pPr>
        <w:pStyle w:val="Normal"/>
        <w:spacing w:lineRule="auto" w:line="360"/>
        <w:ind w:end="0"/>
        <w:jc w:val="end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b/>
          <w:b/>
          <w:bCs/>
          <w:rtl w:val="true"/>
        </w:rPr>
        <w:t xml:space="preserve">ניתנה והודעה היום </w:t>
      </w:r>
      <w:r>
        <w:rPr>
          <w:b/>
          <w:b/>
          <w:bCs/>
          <w:rtl w:val="true"/>
        </w:rPr>
        <w:t>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ניסן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11/04/2010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spacing w:lineRule="auto" w:line="360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spacing w:lineRule="auto" w:line="360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spacing w:lineRule="auto" w:line="360"/>
        <w:ind w:end="0"/>
        <w:jc w:val="end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  <w:rtl w:val="true"/>
        </w:rPr>
      </w:r>
    </w:p>
    <w:p>
      <w:pPr>
        <w:pStyle w:val="Normal"/>
        <w:spacing w:lineRule="auto" w:line="360"/>
        <w:ind w:end="0"/>
        <w:jc w:val="start"/>
        <w:rPr>
          <w:rFonts w:ascii="Times New Roman" w:hAnsi="Times New Roman" w:cs="Times New Roman"/>
          <w:sz w:val="6"/>
          <w:szCs w:val="6"/>
        </w:rPr>
      </w:pPr>
      <w:r>
        <w:rPr>
          <w:rFonts w:cs="Times New Roman" w:ascii="Times New Roman" w:hAnsi="Times New Roman"/>
          <w:sz w:val="6"/>
          <w:szCs w:val="6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החלטה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אני מקבל את הבקשה ומורה  על עיכוב ביצוע המאסר ואדגיש המאסר בלבד להבדיל מיתר העונשים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עד ליום </w:t>
      </w:r>
      <w:r>
        <w:rPr>
          <w:b/>
          <w:bCs/>
        </w:rPr>
        <w:t>27/5/2010</w:t>
      </w:r>
      <w:r>
        <w:rPr>
          <w:b/>
          <w:bCs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>אם לא תהיה החלטה אחרת הנאשם יתייצב לריצוי עונשו במזכירות בית המשפט במועד הנ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 xml:space="preserve">ל עד שעה </w:t>
      </w:r>
      <w:r>
        <w:rPr>
          <w:b/>
          <w:bCs/>
        </w:rPr>
        <w:t>11:00</w:t>
      </w:r>
      <w:r>
        <w:rPr>
          <w:b/>
          <w:bCs/>
          <w:rtl w:val="true"/>
        </w:rPr>
        <w:t xml:space="preserve"> 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ניתן צו עיכוב יציאה מן הארץ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באשר לערבויות להבטחת התייצבות הנאשם לריצוי העונש</w:t>
      </w:r>
      <w:r>
        <w:rPr>
          <w:rFonts w:cs="Arial" w:ascii="Arial" w:hAnsi="Arial"/>
          <w:b/>
          <w:bCs/>
          <w:rtl w:val="true"/>
        </w:rPr>
        <w:t xml:space="preserve">, </w:t>
      </w:r>
      <w:r>
        <w:rPr>
          <w:rFonts w:ascii="Arial" w:hAnsi="Arial" w:cs="Arial"/>
          <w:b/>
          <w:b/>
          <w:bCs/>
          <w:rtl w:val="true"/>
        </w:rPr>
        <w:t>הרי הערבויות שניתנו כערובה לשחרור הנאשם יחולו גם לעניין זה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/>
          <w:bCs/>
          <w:rtl w:val="true"/>
        </w:rPr>
        <w:t>יתר תנאי השחרור בעינם יעמדו עד החלטה אחרת</w:t>
      </w:r>
      <w:r>
        <w:rPr>
          <w:rFonts w:cs="Arial" w:ascii="Arial" w:hAnsi="Arial"/>
          <w:b/>
          <w:bCs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#8#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כ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ז ניסן תש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ע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11/04/2010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 xml:space="preserve">אברהם הימן </w:t>
      </w:r>
      <w:r>
        <w:rPr>
          <w:color w:val="000000"/>
          <w:sz w:val="22"/>
          <w:szCs w:val="22"/>
        </w:rPr>
        <w:t>54678313-1786/09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אברהם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הימן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סגן נשיא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יפעת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מינאי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00"/>
          <w:rtl w:val="true"/>
        </w:rPr>
        <w:t>הודעה למנויים על עריכה ושינויים במסמכי 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 xml:space="preserve">חקיקה ועוד באתר נבו </w:t>
      </w:r>
      <w:r>
        <w:rPr>
          <w:color w:val="000000"/>
          <w:rtl w:val="true"/>
        </w:rPr>
        <w:t xml:space="preserve">- </w:t>
      </w:r>
      <w:r>
        <w:rPr>
          <w:color w:val="000000"/>
          <w:rtl w:val="true"/>
        </w:rPr>
        <w:t>הקש כאן</w:t>
      </w:r>
    </w:p>
    <w:p>
      <w:pPr>
        <w:pStyle w:val="Normal"/>
        <w:ind w:end="0"/>
        <w:jc w:val="start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3"/>
      <w:footerReference w:type="default" r:id="rId4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Times New Roman" w:hAnsi="Times New Roman" w:cs="Times New Roman"/>
        <w:color w:val="000000"/>
        <w:sz w:val="28"/>
        <w:szCs w:val="22"/>
      </w:rPr>
    </w:pP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נבו הוצאה לאור בע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>"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 xml:space="preserve">מ  </w:t>
    </w:r>
    <w:r>
      <w:rPr>
        <w:rFonts w:cs="Times New Roman" w:ascii="Times New Roman" w:hAnsi="Times New Roman"/>
        <w:color w:val="000000"/>
        <w:sz w:val="28"/>
        <w:szCs w:val="22"/>
      </w:rPr>
      <w:t>nevo.co.il</w:t>
    </w:r>
    <w:r>
      <w:rPr>
        <w:rFonts w:cs="Times New Roman" w:ascii="Times New Roman" w:hAnsi="Times New Roman"/>
        <w:color w:val="000000"/>
        <w:sz w:val="28"/>
        <w:szCs w:val="22"/>
        <w:rtl w:val="true"/>
      </w:rPr>
      <w:t xml:space="preserve">   </w:t>
    </w:r>
    <w:r>
      <w:rPr>
        <w:rFonts w:ascii="Times New Roman" w:hAnsi="Times New Roman" w:cs="Times New Roman"/>
        <w:color w:val="000000"/>
        <w:sz w:val="28"/>
        <w:sz w:val="28"/>
        <w:szCs w:val="22"/>
        <w:rtl w:val="true"/>
      </w:rPr>
      <w:t>המאגר המשפטי הישראלי</w:t>
    </w:r>
  </w:p>
  <w:p>
    <w:pPr>
      <w:pStyle w:val="Footer"/>
      <w:pBdr>
        <w:top w:val="single" w:sz="4" w:space="1" w:color="000000"/>
      </w:pBdr>
      <w:ind w:end="0"/>
      <w:jc w:val="start"/>
      <w:rPr>
        <w:rFonts w:ascii="Times New Roman" w:hAnsi="Times New Roman" w:cs="Times New Roman"/>
        <w:color w:val="000000"/>
        <w:sz w:val="14"/>
        <w:szCs w:val="14"/>
      </w:rPr>
    </w:pPr>
    <w:r>
      <w:rPr>
        <w:rFonts w:cs="Times New Roman" w:ascii="Times New Roman" w:hAnsi="Times New Roman"/>
        <w:color w:val="000000"/>
        <w:sz w:val="14"/>
        <w:szCs w:val="14"/>
        <w:rtl w:val="true"/>
      </w:rPr>
      <w:fldChar w:fldCharType="begin"/>
    </w:r>
    <w:r>
      <w:rPr>
        <w:rtl w:val="true"/>
        <w:sz w:val="14"/>
        <w:szCs w:val="14"/>
        <w:rFonts w:cs="Times New Roman" w:ascii="Times New Roman" w:hAnsi="Times New Roman"/>
        <w:color w:val="000000"/>
      </w:rPr>
      <w:instrText xml:space="preserve"> FILENAME \p </w:instrTex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separate"/>
    </w:r>
    <w:r>
      <w:rPr>
        <w:rtl w:val="true"/>
        <w:sz w:val="14"/>
        <w:szCs w:val="14"/>
        <w:rFonts w:cs="Times New Roman" w:ascii="Times New Roman" w:hAnsi="Times New Roman"/>
        <w:color w:val="000000"/>
      </w:rPr>
      <w:t>/Users/liorb/Downloads/study2025-p2/SH-09-1786-515.doc</w:t>
    </w:r>
    <w:r>
      <w:rPr>
        <w:rtl w:val="true"/>
        <w:sz w:val="14"/>
        <w:szCs w:val="14"/>
        <w:rFonts w:cs="Times New Roman" w:ascii="Times New Roman" w:hAnsi="Times New Roman"/>
        <w:color w:val="000000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ראשל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צ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1786-09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</w:t>
    </w:r>
    <w:r>
      <w:rPr>
        <w:color w:val="000000"/>
        <w:sz w:val="22"/>
        <w:szCs w:val="22"/>
        <w:rtl w:val="true"/>
      </w:rPr>
      <w:t>.</w:t>
    </w:r>
    <w:r>
      <w:rPr>
        <w:color w:val="000000"/>
        <w:sz w:val="22"/>
        <w:sz w:val="22"/>
        <w:szCs w:val="22"/>
        <w:rtl w:val="true"/>
      </w:rPr>
      <w:t>י</w:t>
    </w:r>
    <w:r>
      <w:rPr>
        <w:color w:val="000000"/>
        <w:sz w:val="22"/>
        <w:szCs w:val="22"/>
        <w:rtl w:val="true"/>
      </w:rPr>
      <w:t xml:space="preserve">. </w:t>
    </w:r>
    <w:r>
      <w:rPr>
        <w:color w:val="000000"/>
        <w:sz w:val="22"/>
        <w:sz w:val="22"/>
        <w:szCs w:val="22"/>
        <w:rtl w:val="true"/>
      </w:rPr>
      <w:t>תביעות ת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א שלוחת איילון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 xml:space="preserve">דרור אלטלב 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LineNumber">
    <w:name w:val="line number"/>
    <w:basedOn w:val="DefaultParagraphFont"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David">
    <w:name w:val="סגנון (עברית ושפות אחרות) David מיושר לשני הצדדים מרווח בין שורות..."/>
    <w:basedOn w:val="Normal"/>
    <w:qFormat/>
    <w:pPr>
      <w:spacing w:lineRule="auto" w:line="360"/>
      <w:jc w:val="both"/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case/6116732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2016-07-04T15:04:00Z</dcterms:created>
  <dc:creator> </dc:creator>
  <dc:description/>
  <cp:keywords/>
  <dc:language>en-IL</dc:language>
  <cp:lastModifiedBy>hofit</cp:lastModifiedBy>
  <dcterms:modified xsi:type="dcterms:W3CDTF">2016-07-04T15:04:00Z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מ.י. תביעות ת#א שלוחת איילון</vt:lpwstr>
  </property>
  <property fmtid="{D5CDD505-2E9C-101B-9397-08002B2CF9AE}" pid="3" name="APPELLEE">
    <vt:lpwstr>דרור אלטלב </vt:lpwstr>
  </property>
  <property fmtid="{D5CDD505-2E9C-101B-9397-08002B2CF9AE}" pid="4" name="CASESLISTTMP1">
    <vt:lpwstr>6116732</vt:lpwstr>
  </property>
  <property fmtid="{D5CDD505-2E9C-101B-9397-08002B2CF9AE}" pid="5" name="CITY">
    <vt:lpwstr>ראשל"צ</vt:lpwstr>
  </property>
  <property fmtid="{D5CDD505-2E9C-101B-9397-08002B2CF9AE}" pid="6" name="DATE">
    <vt:lpwstr>20100411</vt:lpwstr>
  </property>
  <property fmtid="{D5CDD505-2E9C-101B-9397-08002B2CF9AE}" pid="7" name="DELEMATA">
    <vt:lpwstr/>
  </property>
  <property fmtid="{D5CDD505-2E9C-101B-9397-08002B2CF9AE}" pid="8" name="ISABSTRACT">
    <vt:lpwstr>Y</vt:lpwstr>
  </property>
  <property fmtid="{D5CDD505-2E9C-101B-9397-08002B2CF9AE}" pid="9" name="JUDGE">
    <vt:lpwstr>אברהם הימן</vt:lpwstr>
  </property>
  <property fmtid="{D5CDD505-2E9C-101B-9397-08002B2CF9AE}" pid="10" name="LAWYER">
    <vt:lpwstr>שמוליק מלמד;בני שטיינברג</vt:lpwstr>
  </property>
  <property fmtid="{D5CDD505-2E9C-101B-9397-08002B2CF9AE}" pid="11" name="LINKK1">
    <vt:lpwstr/>
  </property>
  <property fmtid="{D5CDD505-2E9C-101B-9397-08002B2CF9AE}" pid="12" name="LINKK10">
    <vt:lpwstr/>
  </property>
  <property fmtid="{D5CDD505-2E9C-101B-9397-08002B2CF9AE}" pid="13" name="LINKK11">
    <vt:lpwstr/>
  </property>
  <property fmtid="{D5CDD505-2E9C-101B-9397-08002B2CF9AE}" pid="14" name="LINKK12">
    <vt:lpwstr/>
  </property>
  <property fmtid="{D5CDD505-2E9C-101B-9397-08002B2CF9AE}" pid="15" name="LINKK2">
    <vt:lpwstr/>
  </property>
  <property fmtid="{D5CDD505-2E9C-101B-9397-08002B2CF9AE}" pid="16" name="LINKK3">
    <vt:lpwstr/>
  </property>
  <property fmtid="{D5CDD505-2E9C-101B-9397-08002B2CF9AE}" pid="17" name="LINKK4">
    <vt:lpwstr/>
  </property>
  <property fmtid="{D5CDD505-2E9C-101B-9397-08002B2CF9AE}" pid="18" name="LINKK5">
    <vt:lpwstr/>
  </property>
  <property fmtid="{D5CDD505-2E9C-101B-9397-08002B2CF9AE}" pid="19" name="LINKK6">
    <vt:lpwstr/>
  </property>
  <property fmtid="{D5CDD505-2E9C-101B-9397-08002B2CF9AE}" pid="20" name="LINKK7">
    <vt:lpwstr/>
  </property>
  <property fmtid="{D5CDD505-2E9C-101B-9397-08002B2CF9AE}" pid="21" name="LINKK8">
    <vt:lpwstr/>
  </property>
  <property fmtid="{D5CDD505-2E9C-101B-9397-08002B2CF9AE}" pid="22" name="LINKK9">
    <vt:lpwstr/>
  </property>
  <property fmtid="{D5CDD505-2E9C-101B-9397-08002B2CF9AE}" pid="23" name="NEWPARTA">
    <vt:lpwstr>1786</vt:lpwstr>
  </property>
  <property fmtid="{D5CDD505-2E9C-101B-9397-08002B2CF9AE}" pid="24" name="NEWPARTB">
    <vt:lpwstr/>
  </property>
  <property fmtid="{D5CDD505-2E9C-101B-9397-08002B2CF9AE}" pid="25" name="NEWPARTC">
    <vt:lpwstr>09</vt:lpwstr>
  </property>
  <property fmtid="{D5CDD505-2E9C-101B-9397-08002B2CF9AE}" pid="26" name="NEWPROC">
    <vt:lpwstr>תפ</vt:lpwstr>
  </property>
  <property fmtid="{D5CDD505-2E9C-101B-9397-08002B2CF9AE}" pid="27" name="PADIMAIL">
    <vt:lpwstr/>
  </property>
  <property fmtid="{D5CDD505-2E9C-101B-9397-08002B2CF9AE}" pid="28" name="PAGE">
    <vt:lpwstr/>
  </property>
  <property fmtid="{D5CDD505-2E9C-101B-9397-08002B2CF9AE}" pid="29" name="PART">
    <vt:lpwstr/>
  </property>
  <property fmtid="{D5CDD505-2E9C-101B-9397-08002B2CF9AE}" pid="30" name="PROCESS">
    <vt:lpwstr/>
  </property>
  <property fmtid="{D5CDD505-2E9C-101B-9397-08002B2CF9AE}" pid="31" name="PROCNUM">
    <vt:lpwstr>1786</vt:lpwstr>
  </property>
  <property fmtid="{D5CDD505-2E9C-101B-9397-08002B2CF9AE}" pid="32" name="PROCYEAR">
    <vt:lpwstr>09</vt:lpwstr>
  </property>
  <property fmtid="{D5CDD505-2E9C-101B-9397-08002B2CF9AE}" pid="33" name="PSAKDIN">
    <vt:lpwstr>גזר-דין</vt:lpwstr>
  </property>
  <property fmtid="{D5CDD505-2E9C-101B-9397-08002B2CF9AE}" pid="34" name="RemarkFileName">
    <vt:lpwstr>shalom sh 09 1786 515 htm</vt:lpwstr>
  </property>
  <property fmtid="{D5CDD505-2E9C-101B-9397-08002B2CF9AE}" pid="35" name="TYPE">
    <vt:lpwstr>3</vt:lpwstr>
  </property>
  <property fmtid="{D5CDD505-2E9C-101B-9397-08002B2CF9AE}" pid="36" name="TYPE_ABS_DATE">
    <vt:lpwstr>380020100411</vt:lpwstr>
  </property>
  <property fmtid="{D5CDD505-2E9C-101B-9397-08002B2CF9AE}" pid="37" name="TYPE_N_DATE">
    <vt:lpwstr>38020100411</vt:lpwstr>
  </property>
  <property fmtid="{D5CDD505-2E9C-101B-9397-08002B2CF9AE}" pid="38" name="VOLUME">
    <vt:lpwstr/>
  </property>
  <property fmtid="{D5CDD505-2E9C-101B-9397-08002B2CF9AE}" pid="39" name="WORDNUMPAGES">
    <vt:lpwstr>4</vt:lpwstr>
  </property>
</Properties>
</file>