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17919-01-15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0"/>
                <w:szCs w:val="10"/>
              </w:rPr>
            </w:pPr>
            <w:r>
              <w:rPr>
                <w:rFonts w:cs="FrankRuehl"/>
                <w:sz w:val="10"/>
                <w:szCs w:val="10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3"/>
        <w:gridCol w:w="2797"/>
        <w:gridCol w:w="5922"/>
      </w:tblGrid>
      <w:tr>
        <w:trPr/>
        <w:tc>
          <w:tcPr>
            <w:tcW w:w="129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רבאח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28/11/78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) –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+  </w:t>
      </w:r>
      <w:hyperlink r:id="rId1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>) +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בתמצית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tl w:val="true"/>
        </w:rPr>
        <w:t xml:space="preserve">)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 xml:space="preserve">,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ההסתדרות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הסניף</w:t>
      </w:r>
      <w:r>
        <w:rPr>
          <w:rtl w:val="true"/>
        </w:rPr>
        <w:t xml:space="preserve">).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הכספת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),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tl w:val="true"/>
        </w:rPr>
        <w:t xml:space="preserve">,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tl w:val="true"/>
        </w:rPr>
        <w:t>-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',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Fonts w:cs="Times New Roman"/>
          <w:rtl w:val="true"/>
        </w:rPr>
        <w:t xml:space="preserve"> </w:t>
      </w:r>
      <w:r>
        <w:rPr/>
        <w:t>20/12/14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32306842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"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NXG138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33303773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32321917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33303791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20/12/14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21:04</w:t>
      </w:r>
      <w:r>
        <w:rPr>
          <w:rtl w:val="true"/>
        </w:rPr>
        <w:t xml:space="preserve">  -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tl w:val="true"/>
        </w:rPr>
        <w:t xml:space="preserve">,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21:13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2668561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).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מהסניף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),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 </w:t>
      </w:r>
      <w:r>
        <w:rPr>
          <w:rtl w:val="true"/>
        </w:rPr>
        <w:t>כמקדמה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התשלום</w:t>
      </w:r>
      <w:r>
        <w:rPr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tl w:val="true"/>
        </w:rPr>
        <w:t xml:space="preserve">,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25/12/14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24/12/14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. 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25/12/14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00:20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לאעבלין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לאעבלין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.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שברולט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2967832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>, 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25/12/14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), </w:t>
      </w:r>
      <w:r>
        <w:rPr>
          <w:rtl w:val="true"/>
        </w:rPr>
        <w:t>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28/1/16</w:t>
      </w:r>
      <w:r>
        <w:rPr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4/2/16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257" w:before="0" w:after="160"/>
        <w:ind w:firstLine="720" w:end="0"/>
        <w:jc w:val="start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  <w:rtl w:val="true"/>
        </w:rPr>
      </w:r>
    </w:p>
    <w:p>
      <w:pPr>
        <w:pStyle w:val="Normal"/>
        <w:spacing w:lineRule="auto" w:line="257" w:before="0" w:after="160"/>
        <w:ind w:firstLine="720"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76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,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וליושר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ובגיל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אשפוזים</w:t>
      </w:r>
      <w:r>
        <w:rPr>
          <w:rtl w:val="true"/>
        </w:rPr>
        <w:t xml:space="preserve">, </w:t>
      </w:r>
      <w:r>
        <w:rPr>
          <w:rtl w:val="true"/>
        </w:rPr>
        <w:t>ביקורות</w:t>
      </w:r>
      <w:r>
        <w:rPr>
          <w:rtl w:val="true"/>
        </w:rPr>
        <w:t xml:space="preserve">, </w:t>
      </w:r>
      <w:r>
        <w:rPr>
          <w:rtl w:val="true"/>
        </w:rPr>
        <w:t>ותופעות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1112/11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סרדיי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ירזנר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ירזנר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4609/98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טאהא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זמיר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הקריטריונים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הקבועים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19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והחמרה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firstLine="720" w:end="0"/>
        <w:jc w:val="both"/>
        <w:rPr>
          <w:sz w:val="4"/>
          <w:szCs w:val="4"/>
        </w:rPr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tl w:val="true"/>
        </w:rPr>
        <w:t xml:space="preserve">, </w:t>
      </w:r>
      <w:r>
        <w:rPr>
          <w:rtl w:val="true"/>
        </w:rPr>
        <w:t>ונשארו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הגנובים</w:t>
      </w:r>
      <w:r>
        <w:rPr>
          <w:rtl w:val="true"/>
        </w:rPr>
        <w:t xml:space="preserve">,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Arial"/>
          <w:b/>
          <w:bCs/>
          <w:sz w:val="16"/>
          <w:szCs w:val="14"/>
          <w:highlight w:val="yellow"/>
        </w:rPr>
      </w:pPr>
      <w:r>
        <w:rPr>
          <w:rFonts w:cs="Arial"/>
          <w:b/>
          <w:bCs/>
          <w:sz w:val="16"/>
          <w:szCs w:val="14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טעיתי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>".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sz w:val="8"/>
          <w:szCs w:val="8"/>
        </w:rPr>
      </w:pPr>
      <w:r>
        <w:rPr>
          <w:rFonts w:cs="Arial" w:ascii="Calibri" w:hAnsi="Calibri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Arial" w:ascii="Calibri" w:hAnsi="Calibri"/>
          <w:b/>
          <w:bCs/>
          <w:sz w:val="22"/>
          <w:szCs w:val="22"/>
          <w:rtl w:val="true"/>
        </w:rPr>
        <w:tab/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344/81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סגל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313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12/12/05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);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נפיצותן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ומידתה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Arial"/>
          <w:b/>
          <w:bCs/>
          <w:sz w:val="2"/>
          <w:szCs w:val="2"/>
        </w:rPr>
      </w:pPr>
      <w:r>
        <w:rPr>
          <w:rFonts w:cs="Arial" w:ascii="Calibri" w:hAnsi="Calibri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2"/>
          <w:szCs w:val="2"/>
        </w:rPr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>".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18/4/12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  <w:rtl w:val="true"/>
          </w:rPr>
          <w:t>וכן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156/80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כוכבי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בנימין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>).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Arial"/>
          <w:b/>
          <w:bCs/>
          <w:sz w:val="2"/>
          <w:szCs w:val="2"/>
        </w:rPr>
      </w:pPr>
      <w:r>
        <w:rPr>
          <w:rFonts w:cs="Arial" w:ascii="Calibri" w:hAnsi="Calibri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662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בראשן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(</w:t>
      </w:r>
      <w:r>
        <w:rPr/>
        <w:t>19/4/04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12/9/12</w:t>
      </w:r>
      <w:r>
        <w:rPr>
          <w:rtl w:val="true"/>
        </w:rPr>
        <w:t>),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 xml:space="preserve">- </w:t>
      </w:r>
      <w:r>
        <w:rPr>
          <w:rtl w:val="true"/>
        </w:rPr>
        <w:t>ארז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4/12/11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5833/07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18/11/07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22/2/07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</w:t>
      </w:r>
      <w:r>
        <w:rPr>
          <w:rFonts w:cs="Calibri" w:ascii="Calibri" w:hAnsi="Calibri"/>
          <w:rtl w:val="true"/>
        </w:rPr>
        <w:t xml:space="preserve">;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10/8/06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 xml:space="preserve">;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2718/04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דחאל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29/3/04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Miriam"/>
          <w:sz w:val="8"/>
          <w:szCs w:val="8"/>
        </w:rPr>
      </w:pPr>
      <w:r>
        <w:rPr>
          <w:rFonts w:cs="Miriam" w:ascii="Calibri" w:hAnsi="Calibri"/>
          <w:sz w:val="8"/>
          <w:szCs w:val="8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במחוזותינו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פנימה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הגיעו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בהדרגה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שבמלאכת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לגופו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5/6/13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9/6/10</w:t>
      </w:r>
      <w:r>
        <w:rPr>
          <w:rtl w:val="true"/>
        </w:rPr>
        <w:t>),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2"/>
          <w:szCs w:val="22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highlight w:val="yellow"/>
        </w:rPr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Times New Roman"/>
          <w:sz w:val="2"/>
          <w:szCs w:val="2"/>
          <w:highlight w:val="yellow"/>
        </w:rPr>
      </w:pPr>
      <w:r>
        <w:rPr>
          <w:rFonts w:cs="Times New Roman" w:ascii="Calibri" w:hAnsi="Calibri"/>
          <w:sz w:val="2"/>
          <w:szCs w:val="2"/>
          <w:highlight w:val="yellow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2"/>
          <w:szCs w:val="2"/>
          <w:highlight w:val="yellow"/>
        </w:rPr>
      </w:pPr>
      <w:r>
        <w:rPr>
          <w:rFonts w:cs="Arial" w:ascii="Calibri" w:hAnsi="Calibri"/>
          <w:sz w:val="2"/>
          <w:szCs w:val="2"/>
          <w:highlight w:val="yellow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cs="Calibri" w:ascii="Calibri" w:hAnsi="Calibri"/>
          <w:rtl w:val="true"/>
        </w:rPr>
        <w:t>. (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5106/99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אבו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ימה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נד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350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354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color w:val="000000"/>
          <w:rtl w:val="true"/>
        </w:rPr>
        <w:t>ע</w:t>
      </w:r>
      <w:r>
        <w:rPr>
          <w:rFonts w:cs="Calibri" w:ascii="Calibri" w:hAnsi="Calibri"/>
          <w:color w:val="000000"/>
          <w:rtl w:val="true"/>
        </w:rPr>
        <w:t>"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4980/01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פלוני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ואח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נתחוורו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 </w:t>
      </w:r>
      <w:r>
        <w:rPr>
          <w:rtl w:val="true"/>
        </w:rPr>
        <w:t>ממכתבי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257" w:before="0" w:after="160"/>
        <w:ind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ascii="Calibri" w:hAnsi="Calibri" w:cs="Miriam"/>
          <w:rtl w:val="true"/>
        </w:rPr>
        <w:t>מקום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גלוי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וידוע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השיקום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בגזירת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אפסי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ספק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בקבלת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תסקיר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שירות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המבחן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פורס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רקע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ומשפחתי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רשאי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הסניגור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הטיעון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לעונש</w:t>
      </w:r>
      <w:r>
        <w:rPr>
          <w:rFonts w:cs="Miriam" w:ascii="Calibri" w:hAnsi="Calibri"/>
          <w:rtl w:val="true"/>
        </w:rPr>
        <w:t>".</w:t>
      </w:r>
      <w:r>
        <w:rPr>
          <w:rFonts w:cs="Calibri" w:ascii="Calibri" w:hAnsi="Calibri"/>
          <w:rtl w:val="true"/>
        </w:rPr>
        <w:t xml:space="preserve"> (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9612/10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קוגמן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27/4/14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עמית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5858/10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11/8/10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).</w:t>
      </w:r>
    </w:p>
    <w:p>
      <w:pPr>
        <w:pStyle w:val="Normal"/>
        <w:ind w:end="0"/>
        <w:jc w:val="star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',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",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מעקב</w:t>
      </w:r>
      <w:r>
        <w:rPr>
          <w:rtl w:val="true"/>
        </w:rPr>
        <w:t xml:space="preserve">, </w:t>
      </w:r>
      <w:r>
        <w:rPr>
          <w:rtl w:val="true"/>
        </w:rPr>
        <w:t>אשפוזים</w:t>
      </w:r>
      <w:r>
        <w:rPr>
          <w:rtl w:val="true"/>
        </w:rPr>
        <w:t xml:space="preserve">,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tl w:val="true"/>
        </w:rPr>
        <w:t xml:space="preserve">),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השוויון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ההגינות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קריניאן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28/3/12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).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לסוגים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בקיומן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5640/97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רייך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470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אילן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5/5/09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>).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 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24/3/10</w:t>
      </w:r>
      <w:r>
        <w:rPr>
          <w:rtl w:val="true"/>
        </w:rPr>
        <w:t xml:space="preserve">)).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הנכבדה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cs="Arial"/>
          <w:sz w:val="16"/>
          <w:szCs w:val="14"/>
        </w:rPr>
      </w:pPr>
      <w:r>
        <w:rPr>
          <w:rFonts w:cs="Arial"/>
          <w:sz w:val="16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ומעילה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',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לחרטתו</w:t>
      </w:r>
      <w:r>
        <w:rPr>
          <w:rtl w:val="true"/>
        </w:rPr>
        <w:t xml:space="preserve">, </w:t>
      </w:r>
      <w:r>
        <w:rPr>
          <w:rtl w:val="true"/>
        </w:rPr>
        <w:t>להודייתו</w:t>
      </w:r>
      <w:r>
        <w:rPr>
          <w:rtl w:val="true"/>
        </w:rPr>
        <w:t xml:space="preserve">, </w:t>
      </w:r>
      <w:r>
        <w:rPr>
          <w:rtl w:val="true"/>
        </w:rPr>
        <w:t>וללקיחת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משהחליט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עמישב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וארבעת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מהמעביד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</w:t>
      </w:r>
      <w:r>
        <w:rPr>
          <w:rtl w:val="true"/>
        </w:rPr>
        <w:t>'</w:t>
      </w:r>
      <w:r>
        <w:rPr>
          <w:rtl w:val="true"/>
        </w:rPr>
        <w:t>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לכשנתבקש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25/12/14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15/1/15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15/3/16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ind w:hanging="720"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rial"/>
          <w:b/>
          <w:bCs/>
          <w:szCs w:val="22"/>
          <w:u w:val="single"/>
        </w:rPr>
      </w:pPr>
      <w:r>
        <w:rPr>
          <w:rFonts w:cs="Arial"/>
          <w:b/>
          <w:bCs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cs="Times New Roman"/>
          <w:color w:val="FFFFFF"/>
          <w:sz w:val="2"/>
          <w:szCs w:val="2"/>
        </w:rPr>
      </w:pPr>
      <w:r>
        <w:rPr>
          <w:rFonts w:cs="Times New Roman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17919-01-15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רבאח 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.2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.2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case/5747837" TargetMode="External"/><Relationship Id="rId17" Type="http://schemas.openxmlformats.org/officeDocument/2006/relationships/hyperlink" Target="http://www.nevo.co.il/case/5707014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7939098" TargetMode="External"/><Relationship Id="rId22" Type="http://schemas.openxmlformats.org/officeDocument/2006/relationships/hyperlink" Target="http://www.nevo.co.il/case/5815848" TargetMode="External"/><Relationship Id="rId23" Type="http://schemas.openxmlformats.org/officeDocument/2006/relationships/hyperlink" Target="http://www.nevo.co.il/case/5982047" TargetMode="External"/><Relationship Id="rId24" Type="http://schemas.openxmlformats.org/officeDocument/2006/relationships/hyperlink" Target="http://www.nevo.co.il/case/6243627" TargetMode="External"/><Relationship Id="rId25" Type="http://schemas.openxmlformats.org/officeDocument/2006/relationships/hyperlink" Target="http://www.nevo.co.il/case/5762686" TargetMode="External"/><Relationship Id="rId26" Type="http://schemas.openxmlformats.org/officeDocument/2006/relationships/hyperlink" Target="http://www.nevo.co.il/case/5716796" TargetMode="External"/><Relationship Id="rId27" Type="http://schemas.openxmlformats.org/officeDocument/2006/relationships/hyperlink" Target="http://www.nevo.co.il/case/5821327" TargetMode="External"/><Relationship Id="rId28" Type="http://schemas.openxmlformats.org/officeDocument/2006/relationships/hyperlink" Target="http://www.nevo.co.il/case/5821328" TargetMode="External"/><Relationship Id="rId29" Type="http://schemas.openxmlformats.org/officeDocument/2006/relationships/hyperlink" Target="http://www.nevo.co.il/case/6034921" TargetMode="External"/><Relationship Id="rId30" Type="http://schemas.openxmlformats.org/officeDocument/2006/relationships/hyperlink" Target="http://www.nevo.co.il/case/5724364" TargetMode="External"/><Relationship Id="rId31" Type="http://schemas.openxmlformats.org/officeDocument/2006/relationships/hyperlink" Target="http://www.nevo.co.il/case/5887664" TargetMode="External"/><Relationship Id="rId32" Type="http://schemas.openxmlformats.org/officeDocument/2006/relationships/hyperlink" Target="http://www.nevo.co.il/case/5852404" TargetMode="External"/><Relationship Id="rId33" Type="http://schemas.openxmlformats.org/officeDocument/2006/relationships/hyperlink" Target="http://www.nevo.co.il/case/6473037" TargetMode="External"/><Relationship Id="rId34" Type="http://schemas.openxmlformats.org/officeDocument/2006/relationships/hyperlink" Target="http://www.nevo.co.il/case/5969313" TargetMode="External"/><Relationship Id="rId35" Type="http://schemas.openxmlformats.org/officeDocument/2006/relationships/hyperlink" Target="http://www.nevo.co.il/case/5993616" TargetMode="External"/><Relationship Id="rId36" Type="http://schemas.openxmlformats.org/officeDocument/2006/relationships/hyperlink" Target="http://www.nevo.co.il/case/914462" TargetMode="External"/><Relationship Id="rId37" Type="http://schemas.openxmlformats.org/officeDocument/2006/relationships/hyperlink" Target="http://www.nevo.co.il/case/5979891" TargetMode="External"/><Relationship Id="rId38" Type="http://schemas.openxmlformats.org/officeDocument/2006/relationships/hyperlink" Target="http://www.nevo.co.il/case/6036707" TargetMode="External"/><Relationship Id="rId39" Type="http://schemas.openxmlformats.org/officeDocument/2006/relationships/hyperlink" Target="http://www.nevo.co.il/case/5933664" TargetMode="External"/><Relationship Id="rId40" Type="http://schemas.openxmlformats.org/officeDocument/2006/relationships/hyperlink" Target="http://www.nevo.co.il/case/5820942" TargetMode="External"/><Relationship Id="rId41" Type="http://schemas.openxmlformats.org/officeDocument/2006/relationships/hyperlink" Target="http://www.nevo.co.il/case/5880417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6155180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2017-02-28T15:23:00Z</dcterms:created>
  <dc:creator> </dc:creator>
  <dc:description/>
  <cp:keywords/>
  <dc:language>en-IL</dc:language>
  <cp:lastModifiedBy>Tali-a</cp:lastModifiedBy>
  <dcterms:modified xsi:type="dcterms:W3CDTF">2017-02-28T15:23:00Z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רבאח חאג'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5747837;5707014;17939098;5815848;5982047;6243627;5762686;5716796;5821327;5821328;6034921;5724364;5887664;5852404;6473037;5969313;5993616;914462;5979891;6036707;5933664;5820942;5880417;6155180</vt:lpwstr>
  </property>
  <property fmtid="{D5CDD505-2E9C-101B-9397-08002B2CF9AE}" pid="9" name="CITY">
    <vt:lpwstr>חי'</vt:lpwstr>
  </property>
  <property fmtid="{D5CDD505-2E9C-101B-9397-08002B2CF9AE}" pid="10" name="DATE">
    <vt:lpwstr>20160229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דיאנה סלע</vt:lpwstr>
  </property>
  <property fmtid="{D5CDD505-2E9C-101B-9397-08002B2CF9AE}" pid="14" name="LAWLISTTMP1">
    <vt:lpwstr>70301/499.a.1;144.a;144.b;144.b.2;029;040i;40ja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17919</vt:lpwstr>
  </property>
  <property fmtid="{D5CDD505-2E9C-101B-9397-08002B2CF9AE}" pid="22" name="NEWPARTB">
    <vt:lpwstr>01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390020160229</vt:lpwstr>
  </property>
  <property fmtid="{D5CDD505-2E9C-101B-9397-08002B2CF9AE}" pid="34" name="TYPE_N_DATE">
    <vt:lpwstr>39020160229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