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בראשון לציון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1801-09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תביעות 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 שלוחת איילון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בבי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אוקטובר </w:t>
            </w:r>
            <w:r>
              <w:rPr>
                <w:b/>
                <w:bCs/>
                <w:sz w:val="26"/>
                <w:szCs w:val="26"/>
              </w:rPr>
              <w:t>2012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159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360"/>
        <w:gridCol w:w="55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 ארז יקואל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מאשימה  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מ</w:t>
            </w:r>
            <w:r>
              <w:rPr>
                <w:rFonts w:eastAsia="Times New Roman" w:cs="Times New Roman" w:ascii="Times New Roman" w:hAnsi="Times New Roman"/>
                <w:rtl w:val="true"/>
              </w:rPr>
              <w:t>.</w:t>
            </w:r>
            <w:r>
              <w:rPr>
                <w:rFonts w:ascii="Times New Roman" w:hAnsi="Times New Roman" w:eastAsia="Times New Roman" w:cs="Times New Roman"/>
                <w:rtl w:val="true"/>
              </w:rPr>
              <w:t>י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.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תביעות ת</w:t>
            </w:r>
            <w:r>
              <w:rPr>
                <w:rFonts w:eastAsia="Times New Roman" w:cs="Times New Roman" w:ascii="Times New Roman" w:hAnsi="Times New Roman"/>
                <w:rtl w:val="true"/>
              </w:rPr>
              <w:t>"</w:t>
            </w:r>
            <w:r>
              <w:rPr>
                <w:rFonts w:ascii="Times New Roman" w:hAnsi="Times New Roman" w:eastAsia="Times New Roman" w:cs="Times New Roman"/>
                <w:rtl w:val="true"/>
              </w:rPr>
              <w:t>א שלוחת איילון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rtl w:val="true"/>
              </w:rPr>
              <w:t xml:space="preserve">נאשמת 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מינה בבי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    </w:t>
            </w:r>
          </w:p>
        </w:tc>
        <w:tc>
          <w:tcPr>
            <w:tcW w:w="55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tl w:val="true"/>
        </w:rPr>
        <w:t xml:space="preserve"> המאשימה</w:t>
      </w:r>
      <w:r>
        <w:rPr>
          <w:rtl w:val="true"/>
        </w:rPr>
        <w:t xml:space="preserve">: 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 רן שטרן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הנאשמת וב</w:t>
      </w:r>
      <w:r>
        <w:rPr>
          <w:rtl w:val="true"/>
        </w:rPr>
        <w:t>"</w:t>
      </w:r>
      <w:r>
        <w:rPr>
          <w:rtl w:val="true"/>
        </w:rPr>
        <w:t>כ עו</w:t>
      </w:r>
      <w:r>
        <w:rPr>
          <w:rtl w:val="true"/>
        </w:rPr>
        <w:t>"</w:t>
      </w:r>
      <w:r>
        <w:rPr>
          <w:rtl w:val="true"/>
        </w:rPr>
        <w:t>ד אביטל אמסלם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הנאשמת הורשעה לאחר שמיעת ראיות בעבירה של תקיפה סתם</w:t>
      </w:r>
      <w:r>
        <w:rPr>
          <w:rtl w:val="true"/>
        </w:rPr>
        <w:t xml:space="preserve">, </w:t>
      </w:r>
      <w:r>
        <w:rPr>
          <w:rtl w:val="true"/>
        </w:rPr>
        <w:t xml:space="preserve">לפי סעיף </w:t>
      </w:r>
      <w:r>
        <w:rPr/>
        <w:t>379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הנאשמת ילידת </w:t>
      </w:r>
      <w:r>
        <w:rPr/>
        <w:t>1958</w:t>
      </w:r>
      <w:r>
        <w:rPr>
          <w:rtl w:val="true"/>
        </w:rPr>
        <w:t xml:space="preserve"> </w:t>
      </w:r>
      <w:r>
        <w:rPr>
          <w:rtl w:val="true"/>
        </w:rPr>
        <w:t>ואין בעברה רישום פלילי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מעובדות כתב האישום וממצאי הכרעת הדין עולה כי ביום </w:t>
      </w:r>
      <w:r>
        <w:rPr/>
        <w:t>8.9.08</w:t>
      </w:r>
      <w:r>
        <w:rPr>
          <w:rtl w:val="true"/>
        </w:rPr>
        <w:t xml:space="preserve">, </w:t>
      </w:r>
      <w:r>
        <w:rPr>
          <w:rtl w:val="true"/>
        </w:rPr>
        <w:t>בבית ספר בעיר בת</w:t>
      </w:r>
      <w:r>
        <w:rPr>
          <w:rtl w:val="true"/>
        </w:rPr>
        <w:t>-</w:t>
      </w:r>
      <w:r>
        <w:rPr>
          <w:rtl w:val="true"/>
        </w:rPr>
        <w:t>ים</w:t>
      </w:r>
      <w:r>
        <w:rPr>
          <w:rtl w:val="true"/>
        </w:rPr>
        <w:t xml:space="preserve">, </w:t>
      </w:r>
      <w:r>
        <w:rPr>
          <w:rtl w:val="true"/>
        </w:rPr>
        <w:t xml:space="preserve">תקפה הנאשמת קטין כבן </w:t>
      </w:r>
      <w:r>
        <w:rPr/>
        <w:t>11</w:t>
      </w:r>
      <w:r>
        <w:rPr>
          <w:rtl w:val="true"/>
        </w:rPr>
        <w:t xml:space="preserve">, </w:t>
      </w:r>
      <w:r>
        <w:rPr>
          <w:rtl w:val="true"/>
        </w:rPr>
        <w:t>חברו לכיתה של בנה</w:t>
      </w:r>
      <w:r>
        <w:rPr>
          <w:rtl w:val="true"/>
        </w:rPr>
        <w:t xml:space="preserve">, </w:t>
      </w:r>
      <w:r>
        <w:rPr>
          <w:rtl w:val="true"/>
        </w:rPr>
        <w:t>בכך שאחזה בצווארו בכוח ולאחר מכן דחפה אותו לעבר קיר שבמקום</w:t>
      </w:r>
      <w:r>
        <w:rPr>
          <w:rtl w:val="true"/>
        </w:rPr>
        <w:t xml:space="preserve">. </w:t>
      </w:r>
      <w:r>
        <w:rPr>
          <w:rtl w:val="true"/>
        </w:rPr>
        <w:t>לקטין נגרמו סימני אדמומיות בעורפו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הצדדים הגיעו להסדר 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 צריך להרחיב באשר לחומרת מעשי הנאשם</w:t>
      </w:r>
      <w:r>
        <w:rPr>
          <w:rtl w:val="true"/>
        </w:rPr>
        <w:t xml:space="preserve">. </w:t>
      </w:r>
      <w:r>
        <w:rPr>
          <w:rtl w:val="true"/>
        </w:rPr>
        <w:t>בית המשפט הינו אביהם של הקטינים ומחובתו לשגר את המסר הנדרש לפיו פגיעה בקטינים לא תעבור על סדר היום בבחינת ענישתו של הפוגע בהם</w:t>
      </w:r>
      <w:r>
        <w:rPr>
          <w:rtl w:val="true"/>
        </w:rPr>
        <w:t xml:space="preserve">. </w:t>
      </w:r>
      <w:r>
        <w:rPr>
          <w:rtl w:val="true"/>
        </w:rPr>
        <w:t>במיוחד כך שעה שעסקינן במתקפה שניחתה על הקטין בבית ספרו</w:t>
      </w:r>
      <w:r>
        <w:rPr>
          <w:rtl w:val="true"/>
        </w:rPr>
        <w:t xml:space="preserve">, </w:t>
      </w:r>
      <w:r>
        <w:rPr>
          <w:rtl w:val="true"/>
        </w:rPr>
        <w:t>על ידי אדם מבוגר</w:t>
      </w:r>
      <w:r>
        <w:rPr>
          <w:rtl w:val="true"/>
        </w:rPr>
        <w:t xml:space="preserve">, </w:t>
      </w:r>
      <w:r>
        <w:rPr>
          <w:rtl w:val="true"/>
        </w:rPr>
        <w:t>ובמקום בו אמור לחוש תחושת מוגנות מלאה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כל מקרה נבחן כפי נסיבותיו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התרשמתי כי המאשימה הביאה בחשבון שיקוליה את כל הנדרש טרם הגיעה להסדר עם הנאשמת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אף כי ההסדר לגופו הולך כברת דרך לא מבוטלת לקראת הנאשמת</w:t>
      </w:r>
      <w:r>
        <w:rPr>
          <w:rtl w:val="true"/>
        </w:rPr>
        <w:t xml:space="preserve">, </w:t>
      </w:r>
      <w:r>
        <w:rPr>
          <w:rtl w:val="true"/>
        </w:rPr>
        <w:t>לא נמצא בו פסול כדי כך על מנת שאוכל להתערב בו</w:t>
      </w:r>
      <w:r>
        <w:rPr>
          <w:rtl w:val="true"/>
        </w:rPr>
        <w:t xml:space="preserve">. </w:t>
      </w:r>
      <w:r>
        <w:rPr>
          <w:rtl w:val="true"/>
        </w:rPr>
        <w:t>זאת אף לנוכח המגמה העקרונית לעודד הסדרי 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תנאים מסייעים לגישתי המקבלת את ההסדר מצאתי בעברה הנקי של הנאשמת</w:t>
      </w:r>
      <w:r>
        <w:rPr>
          <w:rtl w:val="true"/>
        </w:rPr>
        <w:t xml:space="preserve">, </w:t>
      </w:r>
      <w:r>
        <w:rPr>
          <w:rtl w:val="true"/>
        </w:rPr>
        <w:t>בגילה</w:t>
      </w:r>
      <w:r>
        <w:rPr>
          <w:rtl w:val="true"/>
        </w:rPr>
        <w:t xml:space="preserve">, </w:t>
      </w:r>
      <w:r>
        <w:rPr>
          <w:rtl w:val="true"/>
        </w:rPr>
        <w:t>בחלוף הזמן מבלי שתבצע עבירות נוספות ומהפנמת פסול מסוימת כפי שעולה מטיעוני ההגנה לעונש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החשבתי את מצבה הכלכלי והרפואי של הנאשמת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מכל אלו</w:t>
      </w:r>
      <w:r>
        <w:rPr>
          <w:rtl w:val="true"/>
        </w:rPr>
        <w:t xml:space="preserve">, </w:t>
      </w:r>
      <w:r>
        <w:rPr>
          <w:rtl w:val="true"/>
        </w:rPr>
        <w:t>נחה דעתי כי ההסדר אליו הגיעו הצדדים מאזן נכונה בין האינטרסים השונים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על מנת לייצר את היחס ההולם הנדרש בין מעשה העבירה בנסיבותיו ומידת אשמה של הנאשמת לבין סוג ומידת העונש שיושת עליה</w:t>
      </w:r>
      <w:r>
        <w:rPr>
          <w:rtl w:val="true"/>
        </w:rPr>
        <w:t xml:space="preserve">, </w:t>
      </w:r>
      <w:r>
        <w:rPr>
          <w:rtl w:val="true"/>
        </w:rPr>
        <w:t>סברתי כי ראוי לקבל את תוואי ההסדר כפי עתירת המאשימה על מנת שרכיבי הענישה שיושתו על הנאשמת יכללו גמול שישקף את הסלידה שחשה החברה לנוכח מעשיה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גמול שכזה יתחשב במצבה הכלכלי של הנאשמת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מכל המקובץ</w:t>
      </w:r>
      <w:r>
        <w:rPr>
          <w:rtl w:val="true"/>
        </w:rPr>
        <w:t xml:space="preserve">, </w:t>
      </w:r>
      <w:r>
        <w:rPr>
          <w:rtl w:val="true"/>
        </w:rPr>
        <w:t>אני משית על הנאשמת את העונשים</w:t>
      </w:r>
      <w:r>
        <w:rPr>
          <w:rtl w:val="true"/>
        </w:rPr>
        <w:t xml:space="preserve">, </w:t>
      </w:r>
      <w:r>
        <w:rPr>
          <w:rtl w:val="true"/>
        </w:rPr>
        <w:t xml:space="preserve">כדלקמן </w:t>
      </w:r>
      <w:r>
        <w:rPr>
          <w:rtl w:val="true"/>
        </w:rPr>
        <w:t>–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מאסר על תנאי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 xml:space="preserve">לתקופה של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הנאשמת תישא בעונש זה אם בתקופה של שלוש שנים מהיום תעבור על כל עבירת אלימות כלפי גוף למעט תגרה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קנס</w:t>
      </w:r>
      <w:r>
        <w:rPr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 xml:space="preserve">בסכום של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או מאסר הנאשמת למשך יום תחתיו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בתוך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ימים 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פיצוי למתלונן</w:t>
      </w:r>
      <w:r>
        <w:rPr>
          <w:rtl w:val="true"/>
        </w:rPr>
        <w:t xml:space="preserve"> – ע</w:t>
      </w:r>
      <w:r>
        <w:rPr>
          <w:rtl w:val="true"/>
        </w:rPr>
        <w:t>"</w:t>
      </w:r>
      <w:r>
        <w:rPr>
          <w:rtl w:val="true"/>
        </w:rPr>
        <w:t xml:space="preserve">ת </w:t>
      </w:r>
      <w:r>
        <w:rPr/>
        <w:t>1</w:t>
      </w:r>
      <w:r>
        <w:rPr>
          <w:rtl w:val="true"/>
        </w:rPr>
        <w:t xml:space="preserve"> - </w:t>
      </w:r>
      <w:r>
        <w:rPr>
          <w:rtl w:val="true"/>
        </w:rPr>
        <w:t xml:space="preserve">בסכום של </w:t>
      </w:r>
      <w:r>
        <w:rPr/>
        <w:t>850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סכום הפיצוי ישולם על דרך הפקדתו במזכירות בית משפט 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תשלומים חודשיים שווים ורצופים החל מעוד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פיגור בתשלום אחד התשלומים יעמיד לפירעון מידי את היתרה שטרם סולקה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המזכירות תעביר לידי הורי המתלונן את סכום הפיצוי</w:t>
      </w:r>
      <w:r>
        <w:rPr>
          <w:rtl w:val="true"/>
        </w:rPr>
        <w:t xml:space="preserve">, </w:t>
      </w:r>
      <w:r>
        <w:rPr>
          <w:rtl w:val="true"/>
        </w:rPr>
        <w:t>בד בבד עם עותק מגזר הדין</w:t>
      </w:r>
      <w:r>
        <w:rPr>
          <w:rtl w:val="true"/>
        </w:rPr>
        <w:t xml:space="preserve">. </w:t>
      </w:r>
      <w:r>
        <w:rPr>
          <w:rtl w:val="true"/>
        </w:rPr>
        <w:t xml:space="preserve">התביעה תעביר למזכירות בתוך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ימים פרטי הורי המתלונן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זכות ערעור בתוך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#8#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end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חשון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29/10/2012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ארז יקואל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ארז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יקואל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6" w:name="_GoBack"/>
      <w:bookmarkEnd w:id="6"/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Cs w:val="22"/>
        <w:rtl w:val="true"/>
      </w:rPr>
      <w:t xml:space="preserve">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ראשל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צ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1801/09</w:t>
    </w:r>
    <w:r>
      <w:rPr>
        <w:color w:val="000000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ראשל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צ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1801-09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תביעות 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 שלוחת איילון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מינה בבי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2012-11-08T08:58:00Z</dcterms:created>
  <dc:creator> </dc:creator>
  <dc:description/>
  <cp:keywords/>
  <dc:language>en-IL</dc:language>
  <cp:lastModifiedBy>orit</cp:lastModifiedBy>
  <dcterms:modified xsi:type="dcterms:W3CDTF">2012-11-08T08:58:00Z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תביעות ת"א שלוחת איילון</vt:lpwstr>
  </property>
  <property fmtid="{D5CDD505-2E9C-101B-9397-08002B2CF9AE}" pid="3" name="APPELLEE">
    <vt:lpwstr>מינה בבי</vt:lpwstr>
  </property>
  <property fmtid="{D5CDD505-2E9C-101B-9397-08002B2CF9AE}" pid="4" name="CITY">
    <vt:lpwstr>ראשל"צ</vt:lpwstr>
  </property>
  <property fmtid="{D5CDD505-2E9C-101B-9397-08002B2CF9AE}" pid="5" name="DATE">
    <vt:lpwstr>20121029</vt:lpwstr>
  </property>
  <property fmtid="{D5CDD505-2E9C-101B-9397-08002B2CF9AE}" pid="6" name="JUDGE">
    <vt:lpwstr>ארז יקואל</vt:lpwstr>
  </property>
  <property fmtid="{D5CDD505-2E9C-101B-9397-08002B2CF9AE}" pid="7" name="LAWYER">
    <vt:lpwstr>רן שטרן;ו אביטל אמסלם</vt:lpwstr>
  </property>
  <property fmtid="{D5CDD505-2E9C-101B-9397-08002B2CF9AE}" pid="8" name="NEWPARTA">
    <vt:lpwstr>1801</vt:lpwstr>
  </property>
  <property fmtid="{D5CDD505-2E9C-101B-9397-08002B2CF9AE}" pid="9" name="NEWPARTB">
    <vt:lpwstr/>
  </property>
  <property fmtid="{D5CDD505-2E9C-101B-9397-08002B2CF9AE}" pid="10" name="NEWPARTC">
    <vt:lpwstr>09</vt:lpwstr>
  </property>
  <property fmtid="{D5CDD505-2E9C-101B-9397-08002B2CF9AE}" pid="11" name="NEWPROC">
    <vt:lpwstr>תפ</vt:lpwstr>
  </property>
  <property fmtid="{D5CDD505-2E9C-101B-9397-08002B2CF9AE}" pid="12" name="PROCNUM">
    <vt:lpwstr>1801</vt:lpwstr>
  </property>
  <property fmtid="{D5CDD505-2E9C-101B-9397-08002B2CF9AE}" pid="13" name="PROCYEAR">
    <vt:lpwstr>09</vt:lpwstr>
  </property>
  <property fmtid="{D5CDD505-2E9C-101B-9397-08002B2CF9AE}" pid="14" name="PSAKDIN">
    <vt:lpwstr>גזר-דין</vt:lpwstr>
  </property>
  <property fmtid="{D5CDD505-2E9C-101B-9397-08002B2CF9AE}" pid="15" name="TYPE">
    <vt:lpwstr>3</vt:lpwstr>
  </property>
  <property fmtid="{D5CDD505-2E9C-101B-9397-08002B2CF9AE}" pid="16" name="TYPE_ABS_DATE">
    <vt:lpwstr>380020121029</vt:lpwstr>
  </property>
  <property fmtid="{D5CDD505-2E9C-101B-9397-08002B2CF9AE}" pid="17" name="TYPE_N_DATE">
    <vt:lpwstr>38020121029</vt:lpwstr>
  </property>
  <property fmtid="{D5CDD505-2E9C-101B-9397-08002B2CF9AE}" pid="18" name="WORDNUMPAGES">
    <vt:lpwstr>3</vt:lpwstr>
  </property>
</Properties>
</file>