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18094-06-24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זבידאת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מריה פיקוס בוגדאנוב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עובדה זבידאת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בניגוד </w:t>
      </w:r>
      <w:hyperlink r:id="rId8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7" w:name="ABSTRACT_END"/>
      <w:bookmarkEnd w:id="7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עובדות כתב האישום בתמצית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20.5.24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19:30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בביתו בסכנין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מגבת מאחורי מגירה בארון 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גלוק מספר סידורי הטבוע על גוף הנשק </w:t>
      </w:r>
      <w:r>
        <w:rPr>
          <w:rFonts w:cs="Arial" w:ascii="Arial" w:hAnsi="Arial"/>
          <w:rtl w:val="true"/>
        </w:rPr>
        <w:t>"</w:t>
      </w:r>
      <w:r>
        <w:rPr>
          <w:rFonts w:cs="David" w:ascii="David" w:hAnsi="David"/>
        </w:rPr>
        <w:t>193</w:t>
      </w:r>
      <w:r>
        <w:rPr>
          <w:rFonts w:cs="David" w:ascii="David" w:hAnsi="David"/>
        </w:rPr>
        <w:t>CPN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ומספר סידורי נוסף הטבוע על הקנה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ואקדח גלוק מספר סידורי </w:t>
      </w:r>
      <w:r>
        <w:rPr>
          <w:rFonts w:cs="Arial" w:ascii="Arial" w:hAnsi="Arial"/>
          <w:rtl w:val="true"/>
        </w:rPr>
        <w:t>"</w:t>
      </w:r>
      <w:r>
        <w:rPr>
          <w:rFonts w:cs="David" w:ascii="David" w:hAnsi="David"/>
        </w:rPr>
        <w:t>879</w:t>
      </w:r>
      <w:r>
        <w:rPr>
          <w:rFonts w:cs="David" w:ascii="David" w:hAnsi="David"/>
        </w:rPr>
        <w:t>AGHU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האקדחים</w:t>
      </w:r>
      <w:r>
        <w:rPr>
          <w:rFonts w:cs="Arial" w:ascii="Arial" w:hAnsi="Arial"/>
          <w:rtl w:val="true"/>
        </w:rPr>
        <w:t xml:space="preserve">"). 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בצמוד לאקדחים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תואמות ובתוכן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הגישה גיליון הרשעות קודמות של הנאשם הכולל הרשעה אחת בגין עבירות אלימות כלפי בת זוג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 העידה אשת הנאשם אשר סיפרה על הקושי לגדל 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עצור ואינו יכול לסייע לה או לאמו הסובלת מנכות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מסמכים של 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בנוגע לקצבת נכות אותה מקבלת אמו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ומסמך בנוגע לטיפול אותו עובר בנו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הצדדים לעונש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בטיעוניה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כי הערכים החברתיים שנפגעו מביצוע העבירה על ידי הנאשם הם שמירה על 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חיי אדם מפני המשתמשים בנשק באופן בלתי חוקי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 במעשי הנאשם ישנן נסיבות לחומרה המתבטאות בעובדה כי הנאשם החזיק שני כלי נשק לצד מחסניות ותחמושת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לא בוצע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הנזק הפוטנציאלי שעלול היה להיגרם הוא נזק בגוף ובנפש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נשק שמוחזק באופן בלתי חוקי עלול להגיע לידיים עברייניות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לפסיקה ממנה ביקשה ללמוד על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הדגשה כי מדיניות הענישה הנוהגת היא רק אחד מהשיקולים ששוקל בית המשפט ועתרה לקבוע כי מתחם העונש ההולם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ביקשה לקבוע את עונשו ברף האמצעי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עברו הפלילי של הנאשם והצורך בהרתעה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מרתיע וקנס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ביקש לקבוע כי מתחם העונש ההולם בנסיבות תיק זה 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כי העונש מינימום שקבע המחוקק יכול להיות בחלקו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וביקש ללמוד ממנה לגבי מדיניות הענישה הנוהגת במקרים דומים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כי דובר במי שהודה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שיוטל יפגע קשה בתא המשפחתי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תומך גם באמו הנכה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זוהי הפעם הראשונה שהנאשם עצור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עד כה ניהל אורח חיים נורמטיבי למעט הרשעה אחת בגין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וחווית המעצר קשה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דיון והכרעה 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12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 המשפט קובע את מתחם העונש ההולם בהתאם לעיקרון ההלימה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שביישומו על בית המשפט להתחשב בערך החברתי שנפגע מביצוע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במדיניות הענישה הנהוגה ובנסיבות הקשורות בביצוע העבירה </w:t>
      </w:r>
      <w:r>
        <w:rPr>
          <w:rFonts w:eastAsia="Calibri" w:cs="Calibri" w:ascii="Calibri" w:hAnsi="Calibri"/>
          <w:rtl w:val="true"/>
        </w:rPr>
        <w:t>(</w:t>
      </w:r>
      <w:hyperlink r:id="rId1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8641/12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מוחמד סעד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5.8.13</w:t>
      </w:r>
      <w:r>
        <w:rPr>
          <w:rFonts w:eastAsia="Calibri" w:cs="Calibri" w:ascii="Calibri" w:hAnsi="Calibri"/>
          <w:rtl w:val="true"/>
        </w:rPr>
        <w:t>)).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הערך החברתי המוגן</w:t>
      </w:r>
      <w:r>
        <w:rPr>
          <w:rFonts w:ascii="David" w:hAnsi="David"/>
          <w:rtl w:val="true"/>
        </w:rPr>
        <w:t xml:space="preserve"> שנפגע ממעשי הנאשם הוא הערך של הגנה על חיי אדם והגנה על תחושת הביטחון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תי משפט חזרו והדגישו את החומרה היתרה </w:t>
      </w:r>
      <w:r>
        <w:rPr>
          <w:rFonts w:ascii="David" w:hAnsi="David"/>
          <w:rtl w:val="true"/>
        </w:rPr>
        <w:t>שיש לראות בביצוע עבירות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אם לא נעשה בהם שימוש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לעניין זה ראה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כרים 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נקבעה</w:t>
      </w:r>
      <w:r>
        <w:rPr>
          <w:rFonts w:ascii="David" w:hAnsi="David"/>
          <w:rtl w:val="true"/>
        </w:rPr>
        <w:t xml:space="preserve"> מדיניות ברורה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המבוצעות בנשק – לרבות רכישה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לאחרונה תוקן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שקבע כי העונש שיושת על מבצע העבירה יתחיל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החליט בית המשפט מטעמים מיוחדים להקל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לא יהיה כולו על תנאי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בפסיקה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החזקת</w:t>
      </w:r>
      <w:r>
        <w:rPr>
          <w:rFonts w:ascii="David" w:hAnsi="David"/>
          <w:rtl w:val="true"/>
        </w:rPr>
        <w:t xml:space="preserve"> נשק חם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 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זמינות 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ואם לידיים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הנובעות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בשנים האחרונות אנו עדים לגל אלימות קשה תוך שימוש בנשק חם הגובה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לעניין זה ראה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נח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545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 xml:space="preserve">המציאות השוררת בארץ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זמינותו של נשק חם ורב עוצמה שיש עמו פוטנציאל להסלמה באלימות העבריינית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באשר לנסיבות הקשורות בביצוע העבירות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rtl w:val="true"/>
        </w:rPr>
        <w:t>התכנון שקדם לביצוע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החזיק שני אקדחים</w:t>
      </w:r>
      <w:r>
        <w:rPr>
          <w:rFonts w:ascii="David" w:hAnsi="David"/>
          <w:rtl w:val="true"/>
        </w:rPr>
        <w:t xml:space="preserve"> בצמוד לשתי מחסניות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מוסתרים במגבת מאחורי מגירה בארון בחדר השינה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שמדובר בביצוע עבירות מתוכננות היטב על ידי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 יש להדגיש כי הנאשם החזיק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 את האקדחים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בצמוד למחסניות עם 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בתוך חדר השינה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הם היו בזמינות גבוהה לשימוש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הנזק שעלול היה להיגרם מביצוע העבירות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החזיק בשני אקדחים </w:t>
      </w:r>
      <w:r>
        <w:rPr>
          <w:rFonts w:ascii="David" w:hAnsi="David"/>
          <w:rtl w:val="true"/>
        </w:rPr>
        <w:t xml:space="preserve">בצמוד למחסניות עם </w:t>
      </w:r>
      <w:r>
        <w:rPr>
          <w:rFonts w:ascii="David" w:hAnsi="David"/>
          <w:rtl w:val="true"/>
        </w:rPr>
        <w:t>תחמושת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שגם אם </w:t>
      </w:r>
      <w:r>
        <w:rPr>
          <w:rFonts w:ascii="David" w:hAnsi="David"/>
          <w:rtl w:val="true"/>
        </w:rPr>
        <w:t xml:space="preserve"> לא נעשה שימוש באקדחים ולא </w:t>
      </w:r>
      <w:r>
        <w:rPr>
          <w:rFonts w:ascii="David" w:hAnsi="David"/>
          <w:rtl w:val="true"/>
        </w:rPr>
        <w:t>נגרם נזק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פוטנציאל הנזק הוא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עלול להביא לפגיעה בגוף ואף בחיי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היה נעשה בהם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מידת הפגיעה בערכים המוגנים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בשים לב לעובדה כי מדובר בשני כלי נשק מסוג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הוחזקו  </w:t>
      </w:r>
      <w:r>
        <w:rPr>
          <w:rFonts w:ascii="David" w:hAnsi="David"/>
          <w:rtl w:val="true"/>
        </w:rPr>
        <w:t>בצמוד למחסניות עם תחמושת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בהישג יד של הנאשם</w:t>
      </w:r>
      <w:r>
        <w:rPr>
          <w:rFonts w:ascii="David" w:hAnsi="David"/>
          <w:rtl w:val="true"/>
        </w:rPr>
        <w:t xml:space="preserve"> ובשים לב לנזק פוטנציאלי שעלול היה להיגרם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קובעת כי מידת הפגיעה בערכים המוגנים היא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באשר למדיניות הענישה הנהוגה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 מהפסיקה אליה הפנתה המאשימה עניינה בעבירה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לא ניתן ללמוד ממנה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 מהפסיקה ניתנה לפני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קיים קושי ללמוד ממנה לצורך קביעת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Fonts w:eastAsia="David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color w:val="0000FF"/>
            <w:u w:val="single"/>
          </w:rPr>
          <w:t>23083-03-19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אבו מדע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14.2.19</w:t>
      </w:r>
      <w:r>
        <w:rPr>
          <w:rtl w:val="true"/>
        </w:rPr>
        <w:t xml:space="preserve">), </w:t>
      </w:r>
      <w:r>
        <w:rPr>
          <w:rtl w:val="true"/>
        </w:rPr>
        <w:t>אליו הפנתה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הנאשמים הורשעו בביצוע עבירות של אחזקת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16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הנאשמים החזיקו בכלי נשק חם בלתי חוקיים ובתחמושת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נתפס מחזיק בביתו באקדח חצי אוטומטי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תוצרת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 xml:space="preserve">וכן החזיק בנוסף ב –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ובשלוש מחסניות טעונות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החזיק בביתו באקדח חצי אוטומטי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תוצרת </w:t>
      </w:r>
      <w:r>
        <w:rPr>
          <w:rtl w:val="true"/>
        </w:rPr>
        <w:t>"</w:t>
      </w:r>
      <w:r>
        <w:rPr>
          <w:rtl w:val="true"/>
        </w:rPr>
        <w:t>טנפגוליו</w:t>
      </w:r>
      <w:r>
        <w:rPr>
          <w:rtl w:val="true"/>
        </w:rPr>
        <w:t xml:space="preserve">", </w:t>
      </w:r>
      <w:r>
        <w:rPr>
          <w:rtl w:val="true"/>
        </w:rPr>
        <w:t>אשר אינו תקין אולם ניתן לירות ולהמית אדם באמצעותו</w:t>
      </w:r>
      <w:r>
        <w:rPr>
          <w:rtl w:val="true"/>
        </w:rPr>
        <w:t xml:space="preserve">; </w:t>
      </w:r>
      <w:r>
        <w:rPr>
          <w:rtl w:val="true"/>
        </w:rPr>
        <w:t>תת מקלע מאולתר</w:t>
      </w:r>
      <w:r>
        <w:rPr>
          <w:rtl w:val="true"/>
        </w:rPr>
        <w:t xml:space="preserve">, </w:t>
      </w:r>
      <w:r>
        <w:rPr>
          <w:rtl w:val="true"/>
        </w:rPr>
        <w:t>שלא ניתן לבצע ירי באמצעותו מכיוון שחסר פין אחורי</w:t>
      </w:r>
      <w:r>
        <w:rPr>
          <w:rtl w:val="true"/>
        </w:rPr>
        <w:t xml:space="preserve">, </w:t>
      </w:r>
      <w:r>
        <w:rPr>
          <w:rtl w:val="true"/>
        </w:rPr>
        <w:t>אולם לאחר הרכבת בורג חלף הפין</w:t>
      </w:r>
      <w:r>
        <w:rPr>
          <w:rtl w:val="true"/>
        </w:rPr>
        <w:t xml:space="preserve">, </w:t>
      </w:r>
      <w:r>
        <w:rPr>
          <w:rtl w:val="true"/>
        </w:rPr>
        <w:t>היה בידיו לבצע ירי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בכוחו להמית אדם</w:t>
      </w:r>
      <w:r>
        <w:rPr>
          <w:rtl w:val="true"/>
        </w:rPr>
        <w:t xml:space="preserve">; </w:t>
      </w:r>
      <w:r>
        <w:rPr>
          <w:rtl w:val="true"/>
        </w:rPr>
        <w:t xml:space="preserve">אקדח תקני מסוג תופי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תוצרת </w:t>
      </w:r>
      <w:r>
        <w:rPr>
          <w:rtl w:val="true"/>
        </w:rPr>
        <w:t>"</w:t>
      </w:r>
      <w:r>
        <w:rPr>
          <w:rtl w:val="true"/>
        </w:rPr>
        <w:t>וובלי סקוט</w:t>
      </w:r>
      <w:r>
        <w:rPr>
          <w:rtl w:val="true"/>
        </w:rPr>
        <w:t xml:space="preserve">"  –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אינו תקין משום שמנגנון התוף אינו ננעל וקיימת סכנה בטיחותית בירי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 </w:t>
      </w:r>
      <w:r>
        <w:rPr>
          <w:rtl w:val="true"/>
        </w:rPr>
        <w:t xml:space="preserve">החזיק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במחסנית טעונה בתחמושת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האקדחים אותם החזיק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נתפסו בחדר הילדים</w:t>
      </w:r>
      <w:r>
        <w:rPr>
          <w:rtl w:val="true"/>
        </w:rPr>
        <w:t xml:space="preserve">, </w:t>
      </w:r>
      <w:r>
        <w:rPr>
          <w:rtl w:val="true"/>
        </w:rPr>
        <w:t xml:space="preserve">בעוד תת המקלע נתפס בחדר השינה של 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</w:t>
      </w:r>
      <w:r>
        <w:rPr>
          <w:b/>
          <w:b/>
          <w:bCs/>
          <w:rtl w:val="true"/>
        </w:rPr>
        <w:t xml:space="preserve">כי מתחם העונש ההולם בעניינו של 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ועד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חדשי מאסר בפועל ובעניינו של 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– </w:t>
      </w:r>
      <w:r>
        <w:rPr>
          <w:b/>
          <w:b/>
          <w:bCs/>
          <w:rtl w:val="true"/>
        </w:rPr>
        <w:t xml:space="preserve">בין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ועד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>ערעור שהוגש לבית המשפט המחוזי נדחה</w:t>
      </w:r>
      <w:r>
        <w:rPr>
          <w:rtl w:val="true"/>
        </w:rPr>
        <w:t xml:space="preserve">. </w:t>
      </w:r>
      <w:r>
        <w:rPr>
          <w:rtl w:val="true"/>
        </w:rPr>
        <w:t xml:space="preserve"> (</w:t>
      </w:r>
      <w:r>
        <w:rPr>
          <w:rtl w:val="true"/>
        </w:rPr>
        <w:t xml:space="preserve">המאשימה הפנה לגזר דין שניתן בשלום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65912-01-18</w:t>
        </w:r>
      </w:hyperlink>
      <w:r>
        <w:rPr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19.2.13</w:t>
      </w:r>
      <w:r>
        <w:rPr>
          <w:rtl w:val="true"/>
        </w:rPr>
        <w:t xml:space="preserve">), </w:t>
      </w:r>
      <w:r>
        <w:rPr>
          <w:rtl w:val="true"/>
        </w:rPr>
        <w:t>אליו הפנתה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בעבירה של החזקת נשק שלא כדין בניגוד </w:t>
      </w:r>
      <w:hyperlink r:id="rId20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2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ועבירה של שינוי זהות של כלי רכב</w:t>
      </w:r>
      <w:r>
        <w:rPr>
          <w:rtl w:val="true"/>
        </w:rPr>
        <w:t xml:space="preserve">. </w:t>
      </w:r>
      <w:r>
        <w:rPr>
          <w:rtl w:val="true"/>
        </w:rPr>
        <w:t>הנאשם זייף לוחיות זיהוי לאחר שהסיר את לוחיות הזיהוי המקוריות והתקין במקומן שתי לוחיות זיהוי שונות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החזיק במכונית אקדח מסוג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 xml:space="preserve">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ומחסנית שהכילה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 xml:space="preserve">עוד נמצא במכונית אקדח </w:t>
      </w:r>
      <w:r>
        <w:rPr>
          <w:rtl w:val="true"/>
        </w:rPr>
        <w:t>"</w:t>
      </w:r>
      <w:r>
        <w:rPr>
          <w:rtl w:val="true"/>
        </w:rPr>
        <w:t>דמה</w:t>
      </w:r>
      <w:r>
        <w:rPr>
          <w:rtl w:val="true"/>
        </w:rPr>
        <w:t xml:space="preserve">" </w:t>
      </w:r>
      <w:r>
        <w:rPr>
          <w:rtl w:val="true"/>
        </w:rPr>
        <w:t>עם משתיק קול</w:t>
      </w:r>
      <w:r>
        <w:rPr>
          <w:rtl w:val="true"/>
        </w:rPr>
        <w:t xml:space="preserve">, </w:t>
      </w:r>
      <w:r>
        <w:rPr>
          <w:rtl w:val="true"/>
        </w:rPr>
        <w:t>מספר זוגות של כפפות בד ולוחות זיהוי מקוריות של המכונית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שנתיים 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הנאשם נגזרו שנתיים מאסר וענישה נלווית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39460-02-22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21.5.23</w:t>
      </w:r>
      <w:r>
        <w:rPr>
          <w:rtl w:val="true"/>
        </w:rPr>
        <w:t xml:space="preserve">),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הנאשם הורשע בעבירות של רכישת</w:t>
      </w:r>
      <w:r>
        <w:rPr>
          <w:rtl w:val="true"/>
        </w:rPr>
        <w:t>/</w:t>
      </w:r>
      <w:r>
        <w:rPr>
          <w:rtl w:val="true"/>
        </w:rPr>
        <w:t xml:space="preserve">החזקת נשק שלא כדין לפי </w:t>
      </w:r>
      <w:hyperlink r:id="rId23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tl w:val="true"/>
        </w:rPr>
        <w:t>/</w:t>
      </w:r>
      <w:r>
        <w:rPr>
          <w:rtl w:val="true"/>
        </w:rPr>
        <w:t xml:space="preserve">החזקת חלק של נשק או תחמושת לפי </w:t>
      </w:r>
      <w:hyperlink r:id="rId25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</w:t>
      </w:r>
      <w:r>
        <w:rPr>
          <w:rtl w:val="true"/>
        </w:rPr>
        <w:t xml:space="preserve">, </w:t>
      </w:r>
      <w:r>
        <w:rPr>
          <w:rtl w:val="true"/>
        </w:rPr>
        <w:t>ועבירה של החזקה</w:t>
      </w:r>
      <w:r>
        <w:rPr>
          <w:rtl w:val="true"/>
        </w:rPr>
        <w:t>/</w:t>
      </w:r>
      <w:r>
        <w:rPr>
          <w:rtl w:val="true"/>
        </w:rPr>
        <w:t>שימוש בסמים לצריכה עצמית</w:t>
      </w:r>
      <w:r>
        <w:rPr>
          <w:rtl w:val="true"/>
        </w:rPr>
        <w:t xml:space="preserve">. </w:t>
      </w:r>
      <w:r>
        <w:rPr>
          <w:rtl w:val="true"/>
        </w:rPr>
        <w:t>בעת חיפוש שנערך כדין בביתו של הנאשם נמצא כי הנאשם החזיק במשרדו</w:t>
      </w:r>
      <w:r>
        <w:rPr>
          <w:rtl w:val="true"/>
        </w:rPr>
        <w:t xml:space="preserve">, </w:t>
      </w:r>
      <w:r>
        <w:rPr>
          <w:rtl w:val="true"/>
        </w:rPr>
        <w:t>בתוך ארון</w:t>
      </w:r>
      <w:r>
        <w:rPr>
          <w:rtl w:val="true"/>
        </w:rPr>
        <w:t xml:space="preserve">, </w:t>
      </w:r>
      <w:r>
        <w:rPr>
          <w:rtl w:val="true"/>
        </w:rPr>
        <w:t>בקופסא אדומה ובה אקדח ברטה בצבע שחור אשר היה עטוף בבד לבן וזאת ללא רשות כדין</w:t>
      </w:r>
      <w:r>
        <w:rPr>
          <w:rtl w:val="true"/>
        </w:rPr>
        <w:t xml:space="preserve">. </w:t>
      </w:r>
      <w:r>
        <w:rPr>
          <w:rtl w:val="true"/>
        </w:rPr>
        <w:t xml:space="preserve">עוד החזיק הנאשם במשרד סם מסוכן מסוג חשיש במשקל נטו של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גרם וכן ב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סוכריות שהינן סם מסוכן</w:t>
      </w:r>
      <w:r>
        <w:rPr>
          <w:rtl w:val="true"/>
        </w:rPr>
        <w:t xml:space="preserve">. </w:t>
      </w:r>
      <w:r>
        <w:rPr>
          <w:rtl w:val="true"/>
        </w:rPr>
        <w:t xml:space="preserve">בהמשך ובאותן נסיבות נמצא הנאשם מחזיק בתוך שידה הסמוכה למיטתו בבית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נקבע כי מתחם העונש ההולם לכל העבירות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–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לצד מאסר מותנה וקנס כספי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>. (</w:t>
      </w:r>
      <w:r>
        <w:rPr>
          <w:rtl w:val="true"/>
        </w:rPr>
        <w:t xml:space="preserve">הוגש </w:t>
      </w:r>
      <w:r>
        <w:rPr>
          <w:rtl w:val="true"/>
        </w:rPr>
        <w:t xml:space="preserve">ערעור על חומרת העונש אשר נדחה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72851-05-23</w:t>
        </w:r>
      </w:hyperlink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וסים אבו בכר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22.3.21</w:t>
      </w:r>
      <w:r>
        <w:rPr>
          <w:rtl w:val="true"/>
        </w:rPr>
        <w:t xml:space="preserve">), </w:t>
      </w:r>
      <w:r>
        <w:rPr>
          <w:rtl w:val="true"/>
        </w:rPr>
        <w:t>המערערים הורשעו</w:t>
      </w:r>
      <w:r>
        <w:rPr>
          <w:rtl w:val="true"/>
        </w:rPr>
        <w:t xml:space="preserve">, </w:t>
      </w:r>
      <w:r>
        <w:rPr>
          <w:rtl w:val="true"/>
        </w:rPr>
        <w:t>לאחר הודאתם</w:t>
      </w:r>
      <w:r>
        <w:rPr>
          <w:rtl w:val="true"/>
        </w:rPr>
        <w:t xml:space="preserve">, </w:t>
      </w:r>
      <w:r>
        <w:rPr>
          <w:rtl w:val="true"/>
        </w:rPr>
        <w:t>בעבירות של הובלה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ו</w:t>
      </w:r>
      <w:r>
        <w:rPr>
          <w:rtl w:val="true"/>
        </w:rPr>
        <w:t>-</w:t>
      </w:r>
      <w:r>
        <w:rPr>
          <w:color w:val="000000"/>
        </w:rPr>
        <w:t>144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רישא וסיפא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ועבירה של שיבוש מהלכי משפט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נהג ברכב כשלצדו יושב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כשהם נושאים ומובילים עמם שני אקדחים </w:t>
      </w:r>
      <w:r>
        <w:rPr>
          <w:rtl w:val="true"/>
        </w:rPr>
        <w:t>(</w:t>
      </w:r>
      <w:r>
        <w:rPr>
          <w:rtl w:val="true"/>
        </w:rPr>
        <w:t xml:space="preserve">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ומסוג יריחו</w:t>
      </w:r>
      <w:r>
        <w:rPr>
          <w:rtl w:val="true"/>
        </w:rPr>
        <w:t xml:space="preserve">), </w:t>
      </w:r>
      <w:r>
        <w:rPr>
          <w:rtl w:val="true"/>
        </w:rPr>
        <w:t>בכל אקדח מחסנית מלאה</w:t>
      </w:r>
      <w:r>
        <w:rPr>
          <w:rtl w:val="true"/>
        </w:rPr>
        <w:t xml:space="preserve">. </w:t>
      </w:r>
      <w:r>
        <w:rPr>
          <w:rtl w:val="true"/>
        </w:rPr>
        <w:t>שוטרי סיור הבחינו ברכב כשהוא נוסע במהירות והחלו לנסוע אחריו כשהם מהבהבים בפנסי הניידת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 בנסיעה 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 ועצר את הרכב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 מהרכב</w:t>
      </w:r>
      <w:r>
        <w:rPr>
          <w:rtl w:val="true"/>
        </w:rPr>
        <w:t xml:space="preserve">, </w:t>
      </w:r>
      <w:r>
        <w:rPr>
          <w:rtl w:val="true"/>
        </w:rPr>
        <w:t>רץ אל חצר בית סמוך והשליך שם את האקדחים והמחסניות</w:t>
      </w:r>
      <w:r>
        <w:rPr>
          <w:rtl w:val="true"/>
        </w:rPr>
        <w:t xml:space="preserve">, </w:t>
      </w:r>
      <w:r>
        <w:rPr>
          <w:rtl w:val="true"/>
        </w:rPr>
        <w:t>ושב אל הרכב</w:t>
      </w:r>
      <w:r>
        <w:rPr>
          <w:rtl w:val="true"/>
        </w:rPr>
        <w:t xml:space="preserve">. </w:t>
      </w:r>
      <w:r>
        <w:rPr>
          <w:rtl w:val="true"/>
        </w:rPr>
        <w:t>בית משפט מחוזי השית על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מאסר בפועל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וענישה נלווית</w:t>
      </w:r>
      <w:r>
        <w:rPr>
          <w:rtl w:val="true"/>
        </w:rPr>
        <w:t xml:space="preserve">. </w:t>
      </w:r>
      <w:r>
        <w:rPr>
          <w:rtl w:val="true"/>
        </w:rPr>
        <w:t>ערעור שהוגש לבית המשפט העליון על חומרת העונש נדחה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68620-02-20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שיאבנה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27.5.20</w:t>
      </w:r>
      <w:r>
        <w:rPr>
          <w:rtl w:val="true"/>
        </w:rPr>
        <w:t xml:space="preserve">) </w:t>
      </w:r>
      <w:r>
        <w:rPr>
          <w:rtl w:val="true"/>
        </w:rPr>
        <w:t>הנאשמים הורשעו על פי הודאתם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ותחמושת בניגוד </w:t>
      </w:r>
      <w:hyperlink r:id="rId32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r>
        <w:rPr>
          <w:rtl w:val="true"/>
        </w:rPr>
        <w:t xml:space="preserve"> </w:t>
      </w:r>
      <w:hyperlink r:id="rId3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ועבירה של החזקת נשק ותחמושת בניגוד </w:t>
      </w:r>
      <w:hyperlink r:id="rId3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לחוק העונשין </w:t>
      </w:r>
      <w:r>
        <w:rPr>
          <w:rtl w:val="true"/>
        </w:rPr>
        <w:t>(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).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החזיק בחדר ילדים בביתו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אקדח פאראבלום</w:t>
      </w:r>
      <w:r>
        <w:rPr>
          <w:rtl w:val="true"/>
        </w:rPr>
        <w:t xml:space="preserve">, </w:t>
      </w:r>
      <w:r>
        <w:rPr>
          <w:rtl w:val="true"/>
        </w:rPr>
        <w:t>ושתי מחסניות מתאימות</w:t>
      </w:r>
      <w:r>
        <w:rPr>
          <w:rtl w:val="true"/>
        </w:rPr>
        <w:t xml:space="preserve">, </w:t>
      </w:r>
      <w:r>
        <w:rPr>
          <w:rtl w:val="true"/>
        </w:rPr>
        <w:t xml:space="preserve">שהכילו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 אחת מהן</w:t>
      </w:r>
      <w:r>
        <w:rPr>
          <w:rtl w:val="true"/>
        </w:rPr>
        <w:t xml:space="preserve">, </w:t>
      </w:r>
      <w:r>
        <w:rPr>
          <w:rtl w:val="true"/>
        </w:rPr>
        <w:t>וזאת בלא רשות על פי דין להחזיקם</w:t>
      </w:r>
      <w:r>
        <w:rPr>
          <w:rtl w:val="true"/>
        </w:rPr>
        <w:t xml:space="preserve">. </w:t>
      </w:r>
      <w:r>
        <w:rPr>
          <w:rtl w:val="true"/>
        </w:rPr>
        <w:t>באותו מועד</w:t>
      </w:r>
      <w:r>
        <w:rPr>
          <w:rtl w:val="true"/>
        </w:rPr>
        <w:t xml:space="preserve">, </w:t>
      </w:r>
      <w:r>
        <w:rPr>
          <w:rtl w:val="true"/>
        </w:rPr>
        <w:t>החזיקו שני הנאשמים</w:t>
      </w:r>
      <w:r>
        <w:rPr>
          <w:rtl w:val="true"/>
        </w:rPr>
        <w:t xml:space="preserve">, </w:t>
      </w:r>
      <w:r>
        <w:rPr>
          <w:rtl w:val="true"/>
        </w:rPr>
        <w:t>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בבית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במגירה התחתונה</w:t>
      </w:r>
      <w:r>
        <w:rPr>
          <w:rtl w:val="true"/>
        </w:rPr>
        <w:t xml:space="preserve">, </w:t>
      </w:r>
      <w:r>
        <w:rPr>
          <w:rtl w:val="true"/>
        </w:rPr>
        <w:t>באחד מארונות המטבח</w:t>
      </w:r>
      <w:r>
        <w:rPr>
          <w:rtl w:val="true"/>
        </w:rPr>
        <w:t xml:space="preserve">, </w:t>
      </w:r>
      <w:r>
        <w:rPr>
          <w:rtl w:val="true"/>
        </w:rPr>
        <w:t xml:space="preserve">אקדח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ושתי מחסניות מתאימות</w:t>
      </w:r>
      <w:r>
        <w:rPr>
          <w:rtl w:val="true"/>
        </w:rPr>
        <w:t xml:space="preserve">, </w:t>
      </w:r>
      <w:r>
        <w:rPr>
          <w:rtl w:val="true"/>
        </w:rPr>
        <w:t xml:space="preserve">אשר הכילו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וזאת בלא רשות על פי דין להחזקתם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כי </w:t>
      </w:r>
      <w:r>
        <w:rPr>
          <w:b/>
          <w:b/>
          <w:bCs/>
          <w:rtl w:val="true"/>
        </w:rPr>
        <w:t xml:space="preserve">מתחם העונש ההולם לנאשם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בעבודות שירות וענישה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הוטלו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ערעור שהוגש לבית המשפט המחוזי התקבל חלקית כך שבעניינו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הערעור נדחה ובעניינו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בוטל פסק הדין של בית משפט קמא</w:t>
      </w:r>
      <w:r>
        <w:rPr>
          <w:rtl w:val="true"/>
        </w:rPr>
        <w:t xml:space="preserve">, </w:t>
      </w:r>
      <w:r>
        <w:rPr>
          <w:rtl w:val="true"/>
        </w:rPr>
        <w:t>הוא הורשע בעבירה של סיוע להחזקת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והוטלו עליו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וענישה 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1783-04-23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ארתור איסאקוב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26.12.23</w:t>
      </w:r>
      <w:r>
        <w:rPr>
          <w:rtl w:val="true"/>
        </w:rPr>
        <w:t xml:space="preserve">) </w:t>
      </w:r>
      <w:r>
        <w:rPr>
          <w:rtl w:val="true"/>
        </w:rPr>
        <w:t>הנאשם הורשע על פי הודאתו בעבירות החזקת נשק ותחמושת וכן בהחזקת סמים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במהלך חיפוש בדירת הנאשם נמצא בארון הבגדים אקדח חצי אוטומטי מסוג </w:t>
      </w:r>
      <w:r>
        <w:rPr>
          <w:rtl w:val="true"/>
        </w:rPr>
        <w:t>"</w:t>
      </w:r>
      <w:r>
        <w:rPr/>
        <w:t>TANFOGOLIO</w:t>
      </w:r>
      <w:r>
        <w:rPr>
          <w:rtl w:val="true"/>
        </w:rPr>
        <w:t xml:space="preserve">" </w:t>
      </w:r>
      <w:r>
        <w:rPr>
          <w:rtl w:val="true"/>
        </w:rPr>
        <w:t>ובו מחסנית הטעונה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נמצא על כיסא</w:t>
      </w:r>
      <w:r>
        <w:rPr>
          <w:rtl w:val="true"/>
        </w:rPr>
        <w:t xml:space="preserve">, </w:t>
      </w:r>
      <w:r>
        <w:rPr>
          <w:rtl w:val="true"/>
        </w:rPr>
        <w:t>תחת כרית</w:t>
      </w:r>
      <w:r>
        <w:rPr>
          <w:rtl w:val="true"/>
        </w:rPr>
        <w:t xml:space="preserve">, </w:t>
      </w:r>
      <w:r>
        <w:rPr>
          <w:rtl w:val="true"/>
        </w:rPr>
        <w:t xml:space="preserve">סמוך למיטתו של הנאשם אקדח מסוג </w:t>
      </w:r>
      <w:r>
        <w:rPr>
          <w:rtl w:val="true"/>
        </w:rPr>
        <w:t>"</w:t>
      </w:r>
      <w:r>
        <w:rPr/>
        <w:t>FN</w:t>
      </w:r>
      <w:r>
        <w:rPr>
          <w:rtl w:val="true"/>
        </w:rPr>
        <w:t xml:space="preserve"> – </w:t>
      </w:r>
      <w:r>
        <w:rPr>
          <w:rtl w:val="true"/>
        </w:rPr>
        <w:t>בראונינג</w:t>
      </w:r>
      <w:r>
        <w:rPr>
          <w:rtl w:val="true"/>
        </w:rPr>
        <w:t xml:space="preserve">" </w:t>
      </w:r>
      <w:r>
        <w:rPr>
          <w:rtl w:val="true"/>
        </w:rPr>
        <w:t>ובו מחסנית הטעונה 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6.35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במקומות נוספים נמצאו סם מסוכן מסוג קנביס במשקל כולל של </w:t>
      </w:r>
      <w:r>
        <w:rPr/>
        <w:t>18.9</w:t>
      </w:r>
      <w:r>
        <w:rPr>
          <w:rtl w:val="true"/>
        </w:rPr>
        <w:t xml:space="preserve"> </w:t>
      </w:r>
      <w:r>
        <w:rPr>
          <w:rtl w:val="true"/>
        </w:rPr>
        <w:t xml:space="preserve">גרם נטו ועוד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בקוטר </w:t>
      </w:r>
      <w:r>
        <w:rPr/>
        <w:t>6.35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b/>
          <w:b/>
          <w:bCs/>
          <w:rtl w:val="true"/>
        </w:rPr>
        <w:t xml:space="preserve">מתחם העונש ההולם נע 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לצד ענישה הצופה פני עתיד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הוטלו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28287-02-21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22.4.21</w:t>
      </w:r>
      <w:r>
        <w:rPr>
          <w:rtl w:val="true"/>
        </w:rPr>
        <w:t xml:space="preserve">),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המבקשים הורשעו על פי הודאתם </w:t>
      </w:r>
      <w:r>
        <w:rPr>
          <w:rtl w:val="true"/>
        </w:rPr>
        <w:t>ב</w:t>
      </w:r>
      <w:r>
        <w:rPr>
          <w:rtl w:val="true"/>
        </w:rPr>
        <w:t>עבירות החזקת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החזקת שני כלי נשק מאולתרים מסוג 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וכן החזקה של כדור תחמושת המשמש נשק ארוך על ידי המבקש 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משפט השלום קבע כי מתחם העונש ההולם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נוכח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השלום </w:t>
      </w:r>
      <w:r>
        <w:rPr>
          <w:rtl w:val="true"/>
        </w:rPr>
        <w:t>סטה</w:t>
      </w:r>
      <w:r>
        <w:rPr>
          <w:rtl w:val="true"/>
        </w:rPr>
        <w:t xml:space="preserve"> לקולא ממתחם העונש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 xml:space="preserve">והשית על כל אחד מהמבקשים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בדרך של עבודות שירו</w:t>
      </w:r>
      <w:r>
        <w:rPr>
          <w:rtl w:val="true"/>
        </w:rPr>
        <w:t>ת</w:t>
      </w:r>
      <w:r>
        <w:rPr>
          <w:rtl w:val="true"/>
        </w:rPr>
        <w:t xml:space="preserve"> וענישה נלווית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המדינה הגישה ערעור על קולת העונש לבית המשפט המחוזי אשר התקבל</w:t>
      </w:r>
      <w:r>
        <w:rPr>
          <w:rtl w:val="true"/>
        </w:rPr>
        <w:t xml:space="preserve"> ונקבע כי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העונש ההולם נע בין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</w:t>
      </w:r>
      <w:r>
        <w:rPr>
          <w:rtl w:val="true"/>
        </w:rPr>
        <w:t>גזר</w:t>
      </w:r>
      <w:r>
        <w:rPr>
          <w:rtl w:val="true"/>
        </w:rPr>
        <w:t xml:space="preserve"> על כל אחד מהמבקשים</w:t>
      </w:r>
      <w:r>
        <w:rPr>
          <w:rtl w:val="true"/>
        </w:rPr>
        <w:t xml:space="preserve">, </w:t>
      </w:r>
      <w:r>
        <w:rPr>
          <w:rtl w:val="true"/>
        </w:rPr>
        <w:t>חלף עבודות השירות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מעצרם</w:t>
      </w:r>
      <w:r>
        <w:rPr>
          <w:rtl w:val="true"/>
        </w:rPr>
        <w:t xml:space="preserve">. </w:t>
      </w:r>
      <w:r>
        <w:rPr>
          <w:rtl w:val="true"/>
        </w:rPr>
        <w:t>עונש המאסר המותנה</w:t>
      </w:r>
      <w:r>
        <w:rPr>
          <w:rtl w:val="true"/>
        </w:rPr>
        <w:t xml:space="preserve">, </w:t>
      </w:r>
      <w:r>
        <w:rPr>
          <w:rtl w:val="true"/>
        </w:rPr>
        <w:t>שהושת על המבקשים בבית משפט השלום</w:t>
      </w:r>
      <w:r>
        <w:rPr>
          <w:rtl w:val="true"/>
        </w:rPr>
        <w:t xml:space="preserve">, </w:t>
      </w:r>
      <w:r>
        <w:rPr>
          <w:rtl w:val="true"/>
        </w:rPr>
        <w:t>נותר על כנו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בקשת רשות ערעור שהגישו המבקשים לבית המשפט העליון נדחתה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(</w:t>
      </w:r>
      <w:r>
        <w:rPr/>
        <w:t>26.5.21</w:t>
      </w:r>
      <w:r>
        <w:rPr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34568-12-18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ארקן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אסעדי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17.1.19</w:t>
      </w:r>
      <w:r>
        <w:rPr>
          <w:rtl w:val="true"/>
        </w:rPr>
        <w:t xml:space="preserve">),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המשיב  הורשע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 בעבירה של החזקת חלק של נשק או 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</w:t>
      </w:r>
      <w:r>
        <w:rPr>
          <w:rtl w:val="true"/>
        </w:rPr>
        <w:t xml:space="preserve">. </w:t>
      </w:r>
      <w:r>
        <w:rPr>
          <w:rtl w:val="true"/>
        </w:rPr>
        <w:t>במהלך חיפוש בביתו של המשיב נתפס בחדר הילדים נשק</w:t>
      </w:r>
      <w:r>
        <w:rPr>
          <w:rtl w:val="true"/>
        </w:rPr>
        <w:t>-</w:t>
      </w:r>
      <w:r>
        <w:rPr>
          <w:rtl w:val="true"/>
        </w:rPr>
        <w:t>חפץ דמוי תת מקלע מסוג קארל גוסטב</w:t>
      </w:r>
      <w:r>
        <w:rPr>
          <w:rtl w:val="true"/>
        </w:rPr>
        <w:t xml:space="preserve">, </w:t>
      </w:r>
      <w:r>
        <w:rPr>
          <w:rtl w:val="true"/>
        </w:rPr>
        <w:t>שסוגל לירות כדור שבכוחו להמית אדם</w:t>
      </w:r>
      <w:r>
        <w:rPr>
          <w:rtl w:val="true"/>
        </w:rPr>
        <w:t xml:space="preserve">,  </w:t>
      </w:r>
      <w:r>
        <w:rPr>
          <w:rtl w:val="true"/>
        </w:rPr>
        <w:t>מונח על גבי מזרון סמוך ללול הילדים</w:t>
      </w:r>
      <w:r>
        <w:rPr>
          <w:rtl w:val="true"/>
        </w:rPr>
        <w:t xml:space="preserve">, </w:t>
      </w:r>
      <w:r>
        <w:rPr>
          <w:rtl w:val="true"/>
        </w:rPr>
        <w:t>כשהוא עטוף בחולצה שחורה ומונח בתוך שקית</w:t>
      </w:r>
      <w:r>
        <w:rPr>
          <w:rtl w:val="true"/>
        </w:rPr>
        <w:t xml:space="preserve">, </w:t>
      </w:r>
      <w:r>
        <w:rPr>
          <w:rtl w:val="true"/>
        </w:rPr>
        <w:t>ולצדו בתוך השקית מחסנית ריקה תואמת לנשק</w:t>
      </w:r>
      <w:r>
        <w:rPr>
          <w:rtl w:val="true"/>
        </w:rPr>
        <w:t xml:space="preserve">. </w:t>
      </w:r>
      <w:r>
        <w:rPr>
          <w:rtl w:val="true"/>
        </w:rPr>
        <w:t xml:space="preserve">בחדר סמוך בכספת נעולה ומקובעת לקיר נתפסו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תואמים לנשק</w:t>
      </w:r>
      <w:r>
        <w:rPr>
          <w:rtl w:val="true"/>
        </w:rPr>
        <w:t xml:space="preserve">, </w:t>
      </w:r>
      <w:r>
        <w:rPr>
          <w:rtl w:val="true"/>
        </w:rPr>
        <w:t>בתוך תושבת פלסטיק ייעודית</w:t>
      </w:r>
      <w:r>
        <w:rPr>
          <w:rtl w:val="true"/>
        </w:rPr>
        <w:t xml:space="preserve">, </w:t>
      </w:r>
      <w:r>
        <w:rPr>
          <w:rtl w:val="true"/>
        </w:rPr>
        <w:t>עטופים בניילון שקוף נצמד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</w:t>
      </w:r>
      <w:r>
        <w:rPr>
          <w:b/>
          <w:b/>
          <w:bCs/>
          <w:rtl w:val="true"/>
        </w:rPr>
        <w:t xml:space="preserve">ם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עונש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הולם נע בין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לצד רכיבי ענישה נוספים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בשל שיקולי שיקום סטה בית המשפט ממתחם העונש ההולם והטיל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המשיב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בעבודות שירות וענישה נלווית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ערערה לבית המשפט המחוזי על קולת העונש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קיבל את הערעור</w:t>
      </w:r>
      <w:r>
        <w:rPr>
          <w:rtl w:val="true"/>
        </w:rPr>
        <w:t xml:space="preserve"> ו</w:t>
      </w:r>
      <w:r>
        <w:rPr>
          <w:rtl w:val="true"/>
        </w:rPr>
        <w:t>קבע</w:t>
      </w:r>
      <w:r>
        <w:rPr>
          <w:rtl w:val="true"/>
        </w:rPr>
        <w:t xml:space="preserve"> כי לא היה מקום במקרה זה לסטות ממתחם העונש ההולם משיקולי שיקום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שבית המשפט ציין כי אינו ממצה את הדין עם המשיב במסגרת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הוחמר </w:t>
      </w:r>
      <w:r>
        <w:rPr>
          <w:rtl w:val="true"/>
        </w:rPr>
        <w:t>עונשו</w:t>
      </w:r>
      <w:r>
        <w:rPr>
          <w:rtl w:val="true"/>
        </w:rPr>
        <w:t xml:space="preserve"> של המשיב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צו המבחן בוטל ורכיבי המאסר המותנה נותרו על כנם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מזריב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המשיב הורשע על פי הודאתו בעבירה של החזקת נשק שלא כדין</w:t>
      </w:r>
      <w:r>
        <w:rPr>
          <w:rtl w:val="true"/>
        </w:rPr>
        <w:t xml:space="preserve">. </w:t>
      </w:r>
      <w:r>
        <w:rPr>
          <w:rtl w:val="true"/>
        </w:rPr>
        <w:t>במסגרת חיפוש כדין שבוצע בביתו של המשיב נמצא כי הוא החזיק בארון בגדים בחדר השינה</w:t>
      </w:r>
      <w:r>
        <w:rPr>
          <w:rtl w:val="true"/>
        </w:rPr>
        <w:t xml:space="preserve">, </w:t>
      </w:r>
      <w:r>
        <w:rPr>
          <w:rtl w:val="true"/>
        </w:rPr>
        <w:t xml:space="preserve">בנשק תת מקלע מאולתר ולצדו מחסנית ייעודית מלאה ב –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הנשק והמחסנית היו מוסלקים בתוך קופסת נעליים בארון נעול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משפט השלום קבע כי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בצירוף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השלום החליט</w:t>
      </w:r>
      <w:r>
        <w:rPr>
          <w:rtl w:val="true"/>
        </w:rPr>
        <w:t xml:space="preserve"> לסטות ממתחם העונש ההולם משיקולי שיקום ודן את המשיב 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לריצוי בדרך של עבודות שירות וענישה נלווית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ערערה על קולת העונש </w:t>
      </w:r>
      <w:r>
        <w:rPr>
          <w:rtl w:val="true"/>
        </w:rPr>
        <w:t>לבית המשפט המחוזי אשר קיבל את הערעור ו</w:t>
      </w:r>
      <w:r>
        <w:rPr>
          <w:rtl w:val="true"/>
        </w:rPr>
        <w:t>קבע</w:t>
      </w:r>
      <w:r>
        <w:rPr>
          <w:rtl w:val="true"/>
        </w:rPr>
        <w:t xml:space="preserve"> כי לא היה מקום לחרוג לקולא ממתחם העונש ההולם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tl w:val="true"/>
        </w:rPr>
        <w:t xml:space="preserve"> וערכאת הערעור איננה ממצה את הדין עם הנאשם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 כי על המשיב יוטלו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צו המבחן שהוטל עליו בוטל ויתר רכיבי גזר הדין </w:t>
      </w:r>
      <w:r>
        <w:rPr>
          <w:rtl w:val="true"/>
        </w:rPr>
        <w:t>נותרו</w:t>
      </w:r>
      <w:r>
        <w:rPr>
          <w:rtl w:val="true"/>
        </w:rPr>
        <w:t xml:space="preserve"> על כנם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0" w:end="0"/>
        <w:contextualSpacing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50809-07-17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סלום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31.3.19</w:t>
      </w:r>
      <w:r>
        <w:rPr>
          <w:rtl w:val="true"/>
        </w:rPr>
        <w:t xml:space="preserve">), </w:t>
      </w:r>
      <w:r>
        <w:rPr>
          <w:rtl w:val="true"/>
        </w:rPr>
        <w:t>אליו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>
          <w:rtl w:val="true"/>
        </w:rPr>
        <w:t>הורשעו</w:t>
      </w:r>
      <w:r>
        <w:rPr>
          <w:rtl w:val="true"/>
        </w:rPr>
        <w:t xml:space="preserve"> בעביר</w:t>
      </w:r>
      <w:r>
        <w:rPr>
          <w:rtl w:val="true"/>
        </w:rPr>
        <w:t>ת</w:t>
      </w:r>
      <w:r>
        <w:rPr>
          <w:rtl w:val="true"/>
        </w:rPr>
        <w:t xml:space="preserve"> החזקת נשק לפי </w:t>
      </w:r>
      <w:hyperlink r:id="rId45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בצירוף </w:t>
      </w:r>
      <w:hyperlink r:id="rId4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 xml:space="preserve">ובעבירה של נשיאת נשק לפי </w:t>
      </w:r>
      <w:r>
        <w:rPr>
          <w:color w:val="000000"/>
          <w:rtl w:val="true"/>
        </w:rPr>
        <w:t xml:space="preserve">סעיף </w:t>
      </w:r>
      <w:hyperlink r:id="rId48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בצירוף </w:t>
      </w:r>
      <w:hyperlink r:id="rId4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</w:t>
      </w:r>
      <w:r>
        <w:rPr>
          <w:rtl w:val="true"/>
        </w:rPr>
        <w:t>גם</w:t>
      </w:r>
      <w:r>
        <w:rPr>
          <w:rtl w:val="true"/>
        </w:rPr>
        <w:t xml:space="preserve"> בביצוע עביר</w:t>
      </w:r>
      <w:r>
        <w:rPr>
          <w:rtl w:val="true"/>
        </w:rPr>
        <w:t>ות</w:t>
      </w:r>
      <w:r>
        <w:rPr>
          <w:rtl w:val="true"/>
        </w:rPr>
        <w:t xml:space="preserve"> תקיפה סת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 אקדח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 התואמת לאקדח וכדורים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tl w:val="true"/>
        </w:rPr>
        <w:t xml:space="preserve">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ובקש ממנו להוציא את האקדח ממקום מחבואו בבית ולהעבירו למקום מחבוא אחר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העסק המשפחתי</w:t>
      </w:r>
      <w:r>
        <w:rPr>
          <w:rtl w:val="true"/>
        </w:rPr>
        <w:t xml:space="preserve">, </w:t>
      </w:r>
      <w:r>
        <w:rPr>
          <w:rtl w:val="true"/>
        </w:rPr>
        <w:t xml:space="preserve">בשל חששו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שהאקדח ייתפס והוא ייעצר על</w:t>
      </w:r>
      <w:r>
        <w:rPr>
          <w:rtl w:val="true"/>
        </w:rPr>
        <w:t xml:space="preserve"> </w:t>
      </w:r>
      <w:r>
        <w:rPr>
          <w:rtl w:val="true"/>
        </w:rPr>
        <w:t>ידי המשטרה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 את האקדח ובו המחסנית עם הכדורים נכנס לרכב והחל בנסיעה לכיוון העסק</w:t>
      </w:r>
      <w:r>
        <w:rPr>
          <w:rtl w:val="true"/>
        </w:rPr>
        <w:t xml:space="preserve">, </w:t>
      </w:r>
      <w:r>
        <w:rPr>
          <w:rtl w:val="true"/>
        </w:rPr>
        <w:t>כשהוא מחזיק</w:t>
      </w:r>
      <w:r>
        <w:rPr>
          <w:rtl w:val="true"/>
        </w:rPr>
        <w:t xml:space="preserve">, </w:t>
      </w:r>
      <w:r>
        <w:rPr>
          <w:rtl w:val="true"/>
        </w:rPr>
        <w:t>נושא ומוביל את האקדח עם המחסנית והכדורים</w:t>
      </w:r>
      <w:r>
        <w:rPr>
          <w:rtl w:val="true"/>
        </w:rPr>
        <w:t xml:space="preserve">, </w:t>
      </w:r>
      <w:r>
        <w:rPr>
          <w:rtl w:val="true"/>
        </w:rPr>
        <w:t xml:space="preserve">וכל זאת בצוותא חדא עם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הגיע </w:t>
      </w:r>
      <w:r>
        <w:rPr>
          <w:rtl w:val="true"/>
        </w:rPr>
        <w:t>סמוך לעסק</w:t>
      </w:r>
      <w:r>
        <w:rPr>
          <w:rtl w:val="true"/>
        </w:rPr>
        <w:t xml:space="preserve">, </w:t>
      </w:r>
      <w:r>
        <w:rPr>
          <w:rtl w:val="true"/>
        </w:rPr>
        <w:t>עצר את רכבו ונעצר על ידי שוטרי</w:t>
      </w:r>
      <w:r>
        <w:rPr>
          <w:rtl w:val="true"/>
        </w:rPr>
        <w:t xml:space="preserve">ם </w:t>
      </w:r>
      <w:r>
        <w:rPr>
          <w:rtl w:val="true"/>
        </w:rPr>
        <w:t>כשהאקדח והמחסנית עם הכדורים מוסלקים בחלק הקדמי של מכנסיו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רכיב ענישה של מאסר מותנה</w:t>
      </w:r>
      <w:r>
        <w:rPr>
          <w:rtl w:val="true"/>
        </w:rPr>
        <w:t xml:space="preserve">. </w:t>
      </w:r>
      <w:r>
        <w:rPr>
          <w:rtl w:val="true"/>
        </w:rPr>
        <w:t xml:space="preserve">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נגזר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נגזר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 וענישה נלווית לאחר שהוחלט לסטות בעניינו ממתחם העונש ההולם משיקולי 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  <w:sz w:val="27"/>
          <w:szCs w:val="27"/>
        </w:rPr>
      </w:pPr>
      <w:r>
        <w:rPr>
          <w:rFonts w:ascii="David" w:hAnsi="David"/>
          <w:rtl w:val="true"/>
        </w:rPr>
        <w:t xml:space="preserve">לאחר ששקלתי את מכלול השיקולים המעוגנים </w:t>
      </w:r>
      <w:hyperlink r:id="rId5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color w:val="000000"/>
          <w:sz w:val="27"/>
          <w:szCs w:val="27"/>
        </w:rPr>
      </w:pPr>
      <w:r>
        <w:rPr>
          <w:rFonts w:cs="David" w:ascii="David" w:hAnsi="David"/>
          <w:b/>
          <w:bCs/>
          <w:color w:val="000000"/>
          <w:sz w:val="27"/>
          <w:szCs w:val="27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חריגה ממתחם העונש ההולם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בעניינו של הנאשם לא מצאתי נסיבות המצדיקות סטייה ממתחם העונש ההולם לא לחומרא ולא לקולא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באשר לעונשו של הנאשם בתוך מתחם העונש ההולם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לקולא שקלתי את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דיון מוקד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</w:t>
      </w:r>
      <w:r>
        <w:rPr>
          <w:rFonts w:ascii="David" w:hAnsi="David"/>
          <w:rtl w:val="true"/>
        </w:rPr>
        <w:t xml:space="preserve">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של הנאשם חסכה מזמנו השיפוטי של בית המשפט ומהצורך להעיד עדים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נתתי דעתי לפגיעת העונש במשפחתו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שהדברים עלו מעדות 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מגדלת היום בגפה 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לחלקם בעיות כפי שעלה במהלך הדיון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תומך באמו המקבלת קצבת נכות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מעצרו של הנאשם מקשה גם עליה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צעיר 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ולחובתו הרשעה אחת בגין אלימות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הוטלה עליו ענישה צופה פני עתיד וזוהי הפעם הראשונה שהוא עצור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לאחר ששקלתי את כלל השיקולים המפורטים לעיל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 גוזרת על הנאשם את העונשים 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b/>
          <w:bCs/>
        </w:rPr>
      </w:pP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מיום מעצרו בתאריך </w:t>
      </w:r>
      <w:r>
        <w:rPr>
          <w:b/>
          <w:bCs/>
        </w:rPr>
        <w:t>20.5.24</w:t>
      </w:r>
      <w:r>
        <w:rPr>
          <w:b/>
          <w:bCs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בתקופת התנאי עבירה בה הורשע</w:t>
      </w:r>
      <w:r>
        <w:rPr>
          <w:rtl w:val="true"/>
        </w:rPr>
        <w:t xml:space="preserve">, </w:t>
      </w:r>
      <w:r>
        <w:rPr>
          <w:rtl w:val="true"/>
        </w:rPr>
        <w:t>ויורשע בגינה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3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 </w:t>
      </w:r>
      <w:r>
        <w:rPr>
          <w:rtl w:val="true"/>
        </w:rPr>
        <w:t xml:space="preserve">הקנס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הקנס ישולם לחשבון המרכז לגביית קנסות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אגרות והוצאות ברשות האכיפה והגבייה</w:t>
      </w:r>
      <w:r>
        <w:rPr>
          <w:rFonts w:ascii="David" w:hAnsi="David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ניתן לשלם את הקנס באחת הדרכים הבאות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www.eca.gov.il</w:t>
      </w:r>
      <w:r>
        <w:rPr>
          <w:rFonts w:cs="David" w:ascii="David" w:hAnsi="David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אין צורך בשוברי תשלום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8"/>
      <w:r>
        <w:rPr>
          <w:rFonts w:cs="Arial" w:ascii="Arial" w:hAnsi="Arial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מריה פיקוס בוגדאנוב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18094-06-24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עובדה זבידאת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573417" TargetMode="External"/><Relationship Id="rId11" Type="http://schemas.openxmlformats.org/officeDocument/2006/relationships/hyperlink" Target="http://www.nevo.co.il/case/6834904" TargetMode="External"/><Relationship Id="rId12" Type="http://schemas.openxmlformats.org/officeDocument/2006/relationships/hyperlink" Target="http://www.nevo.co.il/law/70301/144.g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526059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3588441" TargetMode="External"/><Relationship Id="rId19" Type="http://schemas.openxmlformats.org/officeDocument/2006/relationships/hyperlink" Target="http://www.nevo.co.il/case/4552738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8324370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29702606" TargetMode="External"/><Relationship Id="rId27" Type="http://schemas.openxmlformats.org/officeDocument/2006/relationships/hyperlink" Target="http://www.nevo.co.il/case/2693111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6499616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case/29513860" TargetMode="External"/><Relationship Id="rId37" Type="http://schemas.openxmlformats.org/officeDocument/2006/relationships/hyperlink" Target="http://www.nevo.co.il/case/27399392" TargetMode="External"/><Relationship Id="rId38" Type="http://schemas.openxmlformats.org/officeDocument/2006/relationships/hyperlink" Target="http://www.nevo.co.il/case/27648787" TargetMode="External"/><Relationship Id="rId39" Type="http://schemas.openxmlformats.org/officeDocument/2006/relationships/hyperlink" Target="http://www.nevo.co.il/case/25232875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case/26103748" TargetMode="External"/><Relationship Id="rId44" Type="http://schemas.openxmlformats.org/officeDocument/2006/relationships/hyperlink" Target="http://www.nevo.co.il/case/22851104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29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/40c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2024-11-21T09:20:00Z</dcterms:created>
  <dc:creator> </dc:creator>
  <dc:description/>
  <cp:keywords/>
  <dc:language>en-IL</dc:language>
  <cp:lastModifiedBy>h1</cp:lastModifiedBy>
  <dcterms:modified xsi:type="dcterms:W3CDTF">2024-11-21T09:20:00Z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עובדה זבידאת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5573417;6834904;25526059;23588441;4552738;28324370;29702606;26931111;26499616;29513860;27399392;27648787;25232875;26103748;22851104</vt:lpwstr>
  </property>
  <property fmtid="{D5CDD505-2E9C-101B-9397-08002B2CF9AE}" pid="6" name="CITY">
    <vt:lpwstr>חי'</vt:lpwstr>
  </property>
  <property fmtid="{D5CDD505-2E9C-101B-9397-08002B2CF9AE}" pid="7" name="DATE">
    <vt:lpwstr>20241118</vt:lpwstr>
  </property>
  <property fmtid="{D5CDD505-2E9C-101B-9397-08002B2CF9AE}" pid="8" name="ISABSTRACT">
    <vt:lpwstr>Y</vt:lpwstr>
  </property>
  <property fmtid="{D5CDD505-2E9C-101B-9397-08002B2CF9AE}" pid="9" name="JUDGE">
    <vt:lpwstr>מריה פיקוס בוגדאנוב</vt:lpwstr>
  </property>
  <property fmtid="{D5CDD505-2E9C-101B-9397-08002B2CF9AE}" pid="10" name="LAWLISTTMP1">
    <vt:lpwstr>70301/144.a:11;144.g;029:4;144.b;040c.a</vt:lpwstr>
  </property>
  <property fmtid="{D5CDD505-2E9C-101B-9397-08002B2CF9AE}" pid="11" name="NEWPARTA">
    <vt:lpwstr>18094</vt:lpwstr>
  </property>
  <property fmtid="{D5CDD505-2E9C-101B-9397-08002B2CF9AE}" pid="12" name="NEWPARTB">
    <vt:lpwstr>06</vt:lpwstr>
  </property>
  <property fmtid="{D5CDD505-2E9C-101B-9397-08002B2CF9AE}" pid="13" name="NEWPARTC">
    <vt:lpwstr>24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380020241118</vt:lpwstr>
  </property>
  <property fmtid="{D5CDD505-2E9C-101B-9397-08002B2CF9AE}" pid="18" name="TYPE_N_DATE">
    <vt:lpwstr>38020241118</vt:lpwstr>
  </property>
  <property fmtid="{D5CDD505-2E9C-101B-9397-08002B2CF9AE}" pid="19" name="WORDNUMPAGES">
    <vt:lpwstr>8</vt:lpwstr>
  </property>
</Properties>
</file>