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1"/>
        <w:gridCol w:w="366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61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1818-06-22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Cs w:val="28"/>
              </w:rPr>
              <w:t>OMAR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3211"/>
        <w:gridCol w:w="4664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  <w:br/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3211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664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סעדיה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21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</w:p>
        </w:tc>
        <w:tc>
          <w:tcPr>
            <w:tcW w:w="4664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ISMAEL OSMAN OMAR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 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בקויה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ממשרד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עבד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עאמר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382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382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8" w:name="ABSTRACT_START"/>
      <w:bookmarkEnd w:id="8"/>
      <w:r>
        <w:rPr>
          <w:rFonts w:ascii="David" w:hAnsi="David"/>
          <w:rtl w:val="true"/>
        </w:rPr>
        <w:t>על פי החלק הכללי לכתב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במועד הרלוונטי לכתב האישום הנאשם והגברת עומר סעדיה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המתלוננת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היו בני זוג נשואים המתגוררים בדירה בתחומי העיר לוד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הדירה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ולהם שלושה ילדים קטינים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הקטינים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כתב האישום כולל שלושה אישומים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ascii="David" w:hAnsi="David"/>
          <w:b/>
          <w:b/>
          <w:bCs/>
          <w:rtl w:val="true"/>
        </w:rPr>
        <w:t>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יוחס לנאשם ביצוע עבירה של תקיפה הגורמת חבלה של ממש של בת זוג לפי </w:t>
      </w:r>
      <w:hyperlink r:id="rId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382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על פי עובדות האישום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27.05.22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עובר לשעה </w:t>
      </w:r>
      <w:r>
        <w:rPr>
          <w:rFonts w:cs="David" w:ascii="David" w:hAnsi="David"/>
        </w:rPr>
        <w:t>14:10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התגלע ויכוח בין הנאשם למתלוננת בנוגע לבתם הקטינה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ובאותן הנסיבות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 העבירה המתלוננת את בנם הקטין ש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אותה עת ישן בסלון הדירה אל חדר השינה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אמר לה הנאשם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שרמוטה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וזרק לעברה נעליים שפגעו בראשה ובהמשך פגעו בבנם הקטין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בתגובה אמרה המתלוננת לנאשם כי אם הוא רוצה לדבר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שידבר איתה שלא בנוכחות הקטינים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אז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אמר הנאשם למתלוננת כי אם לא טוב לה היא יכולה לצאת מהדירה ושהיא מוזמנת להתקשר למשטרה ושאינו מפחד מכך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מיד ובסמוך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הלך הנאשם אל מטבח הדירה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פירק את מקל המטאטא מחלקו התחתון והתקדם לכיוונה של המתלוננת והיא התקשרה למשטרה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בעת שהמתלוננת שוחחה עם מוקדנית מוקד </w:t>
      </w:r>
      <w:r>
        <w:rPr>
          <w:rFonts w:cs="David" w:ascii="David" w:hAnsi="David"/>
        </w:rPr>
        <w:t>100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 המשטרה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היכה אותה באמצעות המקל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שהמתלוננת מגינה על ראשה באמצעות ידה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היכה עם המקל בידה השמאלית ובצלעותיה הימניות מתחת לבית השחי ובעט בה ברגלה השמאלית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מהתקיפה האמורה נגרמו למתלוננת שטפי דם בידה השמאלית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שטפי דם מתחת לבית שחי ימין וכן אדמומיות ושריטה בשוק רגלה השמאלית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בא</w:t>
      </w:r>
      <w:r>
        <w:rPr>
          <w:rFonts w:ascii="David" w:hAnsi="David"/>
          <w:b/>
          <w:b/>
          <w:bCs/>
          <w:rtl w:val="true"/>
        </w:rPr>
        <w:t>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יוחס לנאשם ביצוע עבירה של חבלה חמורה לפי </w:t>
      </w:r>
      <w:hyperlink r:id="rId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333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עובדות האישום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9.11.21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עובר לשעה </w:t>
      </w:r>
      <w:r>
        <w:rPr>
          <w:rFonts w:cs="David" w:ascii="David" w:hAnsi="David"/>
        </w:rPr>
        <w:t>19</w:t>
      </w:r>
      <w:r>
        <w:rPr>
          <w:rFonts w:cs="David" w:ascii="David" w:hAnsi="David"/>
        </w:rPr>
        <w:t>:</w:t>
      </w:r>
      <w:r>
        <w:rPr>
          <w:rFonts w:cs="David" w:ascii="David" w:hAnsi="David"/>
        </w:rPr>
        <w:t>08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בעקבות ויכוח שהתגלע בין הנאשם למתלוננת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משך הנאשם את המתלוננת בשיערה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 מול הקטינים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ואמר לה לצאת החוצה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משהשיבה המתלוננת שהיא לא מתכוונת ללכת ושיש לה ילדים בדירה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תפס הנאשם במקל המטאטא שהיה במטבח הדירה והיכה אותה באמצעותו בידה השמאלית ובירך שמאל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מכך נגרם למתלוננת שבר בעצמות המסרק שבידה שהצריך חבישה בגבס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באישום השלישי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יוחס לנאשם ביצוע עבירה של תקיפה סתם של בת זוג לפי </w:t>
      </w:r>
      <w:hyperlink r:id="rId1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382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עובדות האישום השלישי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בשנת </w:t>
      </w:r>
      <w:r>
        <w:rPr>
          <w:rFonts w:cs="David" w:ascii="David" w:hAnsi="David"/>
        </w:rPr>
        <w:t>2019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במועד ובשעה שאינם ידועים במדויק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בעקבות ויכוח שהתגלע בין הנאשם למתלוננת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הכה הנאשם את המתלוננת עם מקל מטאטא בידיה וברגליה למול בתם הקטינה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לאחר שמיעת הראיות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הורשע בכל העבירות שיוחסו לו בכתב האישום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 xml:space="preserve">טענות הצדדים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להלן טענות המאשימה לעניין העונש בתמצית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מדובר בנאשם שהורשע בשלושה אישומים שונים ונפרדים שבהם השתמש באלימות כדבר בשגרה כנגד המתלוננת באמצעות מקל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בכך פגע הנאשם בערכים המוגנים של שמירה והגנה על שלומה ובטחונה של המתלוננת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טענה שיש לקבוע מתחם עונש הולם לכל אישום בנפרד</w:t>
      </w:r>
      <w:r>
        <w:rPr>
          <w:rFonts w:ascii="David" w:hAnsi="David"/>
          <w:rtl w:val="true"/>
        </w:rPr>
        <w:t xml:space="preserve"> וזאת</w:t>
      </w:r>
      <w:r>
        <w:rPr>
          <w:rFonts w:ascii="David" w:hAnsi="David"/>
          <w:rtl w:val="true"/>
        </w:rPr>
        <w:t xml:space="preserve"> נוכח העובדה שמדובר באירועים שונים ונפרדים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המאשימה טענה שמתחם העונש ההולם לגבי האישום הראשון נע בין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לגבי האישום השני מתחם העונש ההולם נע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ובאישום השלישי המתחם נע בין מספר חודשי מאסר ועד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המאשימה עתרה לעונש כולל של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החל מיום 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 ופיצוי למתלוננת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להלן טענות ההגנה לעניין העונש בתמצית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נעדר עבר פלילי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נשוי ואב לשלושה ילדים קטינים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לגבי האישום הראשון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הודה </w:t>
      </w:r>
      <w:r>
        <w:rPr>
          <w:rFonts w:ascii="David" w:hAnsi="David"/>
          <w:rtl w:val="true"/>
        </w:rPr>
        <w:t xml:space="preserve">בעדותו בבית המשפט </w:t>
      </w:r>
      <w:r>
        <w:rPr>
          <w:rFonts w:ascii="David" w:hAnsi="David"/>
          <w:rtl w:val="true"/>
        </w:rPr>
        <w:t xml:space="preserve">ולקח אחריות על מעשיו והפנים את הפסול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במעשיו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לגבי האישום השלישי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לקחת בחשבון את חלוף הזמן שמדובר בעבירה מלפני ארבע שנים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ההגנה טענה שלנאשם נסיבות חיים קשות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בפליט שאי</w:t>
      </w:r>
      <w:r>
        <w:rPr>
          <w:rFonts w:ascii="David" w:hAnsi="David"/>
          <w:rtl w:val="true"/>
        </w:rPr>
        <w:t>נ</w:t>
      </w:r>
      <w:r>
        <w:rPr>
          <w:rFonts w:ascii="David" w:hAnsi="David"/>
          <w:rtl w:val="true"/>
        </w:rPr>
        <w:t>נו אזרח ישראלי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 המפרנס העיקרי לאשתו וילדיו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יש לו ילד נכה עם בעיות רפואיות קשות ומורכבות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עונש מחמיר יפגע בראש ובראשונה במתלוננת ובילדיהם המשותפים שנמצאים כרגע על סף חרפת רעב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 כוח הנאשם טען שלאור הנסיבות</w:t>
      </w:r>
      <w:r>
        <w:rPr>
          <w:rFonts w:ascii="David" w:hAnsi="David"/>
          <w:rtl w:val="true"/>
        </w:rPr>
        <w:t xml:space="preserve"> האישיות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מתחם העונש ההולם לגבי האישום הראשון והשני נע בין מספר חודשי מאסר שיכול וירוצו בעבודות שירות ועד מספר חודשי מאסר בפועל ולגבי האישום השלישי מתחם העונש ההולם </w:t>
      </w:r>
      <w:r>
        <w:rPr>
          <w:rFonts w:ascii="David" w:hAnsi="David"/>
          <w:rtl w:val="true"/>
        </w:rPr>
        <w:t>מתחיל מ</w:t>
      </w:r>
      <w:r>
        <w:rPr>
          <w:rFonts w:ascii="David" w:hAnsi="David"/>
          <w:rtl w:val="true"/>
        </w:rPr>
        <w:t>עונש צופה פני עתיד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ההגנה טענה שיש להסתפק בתקופת מעצרו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המתלוננת התייצבה לדיון </w:t>
      </w:r>
      <w:r>
        <w:rPr>
          <w:rFonts w:ascii="David" w:hAnsi="David"/>
          <w:rtl w:val="true"/>
        </w:rPr>
        <w:t>שבו נשמעו ה</w:t>
      </w:r>
      <w:r>
        <w:rPr>
          <w:rFonts w:ascii="David" w:hAnsi="David"/>
          <w:rtl w:val="true"/>
        </w:rPr>
        <w:t xml:space="preserve">טיעונים לעונש ואמרה </w:t>
      </w:r>
      <w:r>
        <w:rPr>
          <w:rFonts w:ascii="David" w:hAnsi="David"/>
          <w:rtl w:val="true"/>
        </w:rPr>
        <w:t xml:space="preserve">בתמצית </w:t>
      </w:r>
      <w:r>
        <w:rPr>
          <w:rFonts w:ascii="David" w:hAnsi="David"/>
          <w:rtl w:val="true"/>
        </w:rPr>
        <w:t>את הדברים הבאים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אחד מילדיה סובל מבעיות רפואיות מורכבות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אף אחד מילדיה לא זוכה לקבל שירותי בריאות ממלכתיים בשל היותם זרים במדינה ולכן היא והנאשם נאלצים לשאת בתשלום עבור הטיפולים הרפואיים לבנם החולה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בשל מצוקתם הכלכלית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חלק מהטיפולים אינם ברי השגה עבורם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 סולחת לנאשם ורוצה שיחזור אליה ולילדיהם בהקדם ו</w:t>
      </w:r>
      <w:r>
        <w:rPr>
          <w:rFonts w:ascii="David" w:hAnsi="David"/>
          <w:rtl w:val="true"/>
        </w:rPr>
        <w:t>לכן מבקשת שבית המשפט יקל בעונשו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המצב הכלכלי שלה ושל ילדיה הוא בכי רע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היא </w:t>
      </w:r>
      <w:r>
        <w:rPr>
          <w:rFonts w:ascii="David" w:hAnsi="David"/>
          <w:rtl w:val="true"/>
        </w:rPr>
        <w:t xml:space="preserve">גם </w:t>
      </w:r>
      <w:r>
        <w:rPr>
          <w:rFonts w:ascii="David" w:hAnsi="David"/>
          <w:rtl w:val="true"/>
        </w:rPr>
        <w:t>לא עומדת בתשלום דמי השכירות</w:t>
      </w:r>
      <w:r>
        <w:rPr>
          <w:rFonts w:ascii="David" w:hAnsi="David"/>
          <w:rtl w:val="true"/>
        </w:rPr>
        <w:t xml:space="preserve"> עבור הדירה שבה היא מתגוררת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לעניין 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קיימת זיקה הדוקה בין שלושת האישומים שמ</w:t>
      </w:r>
      <w:r>
        <w:rPr>
          <w:rFonts w:ascii="David" w:hAnsi="David"/>
          <w:rtl w:val="true"/>
        </w:rPr>
        <w:t xml:space="preserve">ובילה למסקנה שיש </w:t>
      </w:r>
      <w:r>
        <w:rPr>
          <w:rFonts w:ascii="David" w:hAnsi="David"/>
          <w:rtl w:val="true"/>
        </w:rPr>
        <w:t>לראות בהם כ</w:t>
      </w:r>
      <w:r>
        <w:rPr>
          <w:rFonts w:cs="David" w:ascii="David" w:hAnsi="David"/>
          <w:rtl w:val="true"/>
        </w:rPr>
        <w:t>-"</w:t>
      </w:r>
      <w:r>
        <w:rPr>
          <w:rFonts w:ascii="David" w:hAnsi="David"/>
          <w:rtl w:val="true"/>
        </w:rPr>
        <w:t>אירוע אחד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בשלושת האישומים מדובר בעבירות אלימות כנגד אותה קורבן שהיא בת זוגו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קיימת גם שיטה עקבית בביצוע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האלימות היא תמיד בדירה שבה הם מתגוררים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בנוכחות הילדים ותוך שימוש במקל של מטאטא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הנני קובע שיש לקבוע מתחם עונש הולם אחד לכל שלושת האישומים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למדיניות הענישה הנוהגת בעבירות של אלימות במשפחה שכוללות פגיעה פיזית משמעותית בקורבן העבירה כגון </w:t>
      </w:r>
      <w:r>
        <w:rPr>
          <w:rFonts w:ascii="David" w:hAnsi="David"/>
          <w:u w:val="single"/>
          <w:rtl w:val="true"/>
        </w:rPr>
        <w:t>שבר</w:t>
      </w:r>
      <w:r>
        <w:rPr>
          <w:rFonts w:ascii="David" w:hAnsi="David"/>
          <w:rtl w:val="true"/>
        </w:rPr>
        <w:t xml:space="preserve"> בעקבות שימוש בחפץ</w:t>
      </w:r>
      <w:r>
        <w:rPr>
          <w:rFonts w:ascii="David" w:hAnsi="David"/>
          <w:rtl w:val="true"/>
        </w:rPr>
        <w:t xml:space="preserve"> קהה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אפנה לפסיקה שלהלן של בית המשפט העליון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440" w:end="0"/>
        <w:jc w:val="both"/>
        <w:rPr>
          <w:rFonts w:ascii="David" w:hAnsi="David" w:cs="David"/>
          <w:sz w:val="24"/>
          <w:szCs w:val="24"/>
        </w:rPr>
      </w:pPr>
      <w:hyperlink r:id="rId1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7513/12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מרעי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[</w:t>
      </w:r>
      <w:r>
        <w:rPr>
          <w:rFonts w:ascii="David" w:hAnsi="David" w:cs="David"/>
          <w:sz w:val="24"/>
          <w:sz w:val="24"/>
          <w:szCs w:val="24"/>
          <w:rtl w:val="true"/>
        </w:rPr>
        <w:t>פורסם בנבו</w:t>
      </w:r>
      <w:r>
        <w:rPr>
          <w:rFonts w:cs="David" w:ascii="David" w:hAnsi="David"/>
          <w:sz w:val="24"/>
          <w:szCs w:val="24"/>
          <w:rtl w:val="true"/>
        </w:rPr>
        <w:t>] (</w:t>
      </w:r>
      <w:r>
        <w:rPr>
          <w:rFonts w:cs="David" w:ascii="David" w:hAnsi="David"/>
          <w:sz w:val="24"/>
          <w:szCs w:val="24"/>
        </w:rPr>
        <w:t>22.10.12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>המבקש הורשע בבית משפט השלום בעבירה של תקיפה הגורמת חבלה של ממש לבת זוג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על פי עובדות כתב האישום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המבקש הטיח את אשתו על מיטתם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התיישב עם בטנה ולפת את צווארה בידיו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לאחר מכן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היכה המבקש את המתלוננת באמצעות מקל מטאטא ברגליה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בידיה ובגבה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עד שמקל המטאטא נשבר מעוצמת המכות והמתלוננת הוטחה ארצה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בשלב זה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המשיך המבקש במעשיו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נשך את המתלוננת בגבה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חבט את ראשה בפינת מיטתם ולפת את צווארה בשנית בעודה שרועה על רצפת החדר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בשלב מסוים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הצטרפו למעשי התקיפה כמה מבני משפחתו של המבקש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כתוצאה מהמעשים האמורים נגרמו למתלוננת חבלות של ממש בידיה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ברגליה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בגבה ובראשה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משפט השלום השית עליו 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בדרך של 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תוך התייחסות לעובדה שהמתלוננת היתה מעוניינת להמשיך להתגורר עימו ושרות המבחן המליץ שלא להטיל עליו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המדינה הגישה ערעור על קולת העונש לבית המשפט המחוזי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הערעור התקבל והושתו על המבקש </w:t>
      </w:r>
      <w:r>
        <w:rPr>
          <w:rFonts w:cs="David" w:ascii="David" w:hAnsi="David"/>
          <w:b/>
          <w:bCs/>
          <w:sz w:val="24"/>
          <w:szCs w:val="24"/>
        </w:rPr>
        <w:t>10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בקשת רשות ערעור שהוגשה לבית המשפט העליון נדחתה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440" w:end="0"/>
        <w:jc w:val="both"/>
        <w:rPr>
          <w:rFonts w:ascii="David" w:hAnsi="David" w:cs="David"/>
          <w:sz w:val="24"/>
          <w:szCs w:val="24"/>
        </w:rPr>
      </w:pPr>
      <w:hyperlink r:id="rId1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4245/13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רבאן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[</w:t>
      </w:r>
      <w:r>
        <w:rPr>
          <w:rFonts w:ascii="David" w:hAnsi="David" w:cs="David"/>
          <w:sz w:val="24"/>
          <w:sz w:val="24"/>
          <w:szCs w:val="24"/>
          <w:rtl w:val="true"/>
        </w:rPr>
        <w:t>פורסם בנבו</w:t>
      </w:r>
      <w:r>
        <w:rPr>
          <w:rFonts w:cs="David" w:ascii="David" w:hAnsi="David"/>
          <w:sz w:val="24"/>
          <w:szCs w:val="24"/>
          <w:rtl w:val="true"/>
        </w:rPr>
        <w:t>] (</w:t>
      </w:r>
      <w:r>
        <w:rPr>
          <w:rFonts w:cs="David" w:ascii="David" w:hAnsi="David"/>
          <w:sz w:val="24"/>
          <w:szCs w:val="24"/>
        </w:rPr>
        <w:t>1.8.13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>המערער הורשע לאחר שמיעת הוכחות על ידי בית המשפט המחוזי בביצוע עבירה של חבלה חמורה בנסיבות מחמירות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על פי עובדות כתב האישום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המערער דרש מאשתו כי תפסיק לצעוק על הילדים ואז נטל מקל הליכה מעץ והחל להכות אותה בחוזקה בכל חלקי גופה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כתוצאה מכך נגרמו לאשתו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שבר בקרסול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נפיחות ושטף דם בשוק ובכתף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המחוזי קבע כי מתחם העונש ההולם נע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בין </w:t>
      </w:r>
      <w:r>
        <w:rPr>
          <w:rFonts w:cs="David" w:ascii="David" w:hAnsi="David"/>
          <w:b/>
          <w:bCs/>
          <w:sz w:val="24"/>
          <w:szCs w:val="24"/>
        </w:rPr>
        <w:t>12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חודשים ועד </w:t>
      </w:r>
      <w:r>
        <w:rPr>
          <w:rFonts w:cs="David" w:ascii="David" w:hAnsi="David"/>
          <w:b/>
          <w:bCs/>
          <w:sz w:val="24"/>
          <w:szCs w:val="24"/>
        </w:rPr>
        <w:t>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לחומרא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למערער היה עבר פלילי שכלל שתי הרשעות קודמות בעבירות אלימות ולקולא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סבל מנכות ובני הזוג חזרו להתגורר יחדיו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משפט המחוזי השית עליו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sz w:val="24"/>
          <w:szCs w:val="24"/>
        </w:rPr>
        <w:t>14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וערעורו לבית המשפט העליון נדחה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440" w:end="0"/>
        <w:jc w:val="both"/>
        <w:rPr>
          <w:rFonts w:ascii="David" w:hAnsi="David" w:cs="David"/>
          <w:sz w:val="24"/>
          <w:szCs w:val="24"/>
        </w:rPr>
      </w:pPr>
      <w:hyperlink r:id="rId1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8323/12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שוקרון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[</w:t>
      </w:r>
      <w:r>
        <w:rPr>
          <w:rFonts w:ascii="David" w:hAnsi="David" w:cs="David"/>
          <w:sz w:val="24"/>
          <w:sz w:val="24"/>
          <w:szCs w:val="24"/>
          <w:rtl w:val="true"/>
        </w:rPr>
        <w:t>פורסם בנבו</w:t>
      </w:r>
      <w:r>
        <w:rPr>
          <w:rFonts w:cs="David" w:ascii="David" w:hAnsi="David"/>
          <w:sz w:val="24"/>
          <w:szCs w:val="24"/>
          <w:rtl w:val="true"/>
        </w:rPr>
        <w:t>] (</w:t>
      </w:r>
      <w:r>
        <w:rPr>
          <w:rFonts w:cs="David" w:ascii="David" w:hAnsi="David"/>
          <w:sz w:val="24"/>
          <w:szCs w:val="24"/>
        </w:rPr>
        <w:t>19.11.12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במקרה זה המבקש תקף את בת זוגו בכך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שהלם בה באגרופיו בצלעותיה וגרם לשבר באחת הצלעות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המבקש גרם נזק לרכוש בכך שהשליך טוסטר לתוך הכיור והפיל ארצה די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ascii="David" w:hAnsi="David" w:cs="David"/>
          <w:sz w:val="24"/>
          <w:sz w:val="24"/>
          <w:szCs w:val="24"/>
          <w:rtl w:val="true"/>
        </w:rPr>
        <w:t>וי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ascii="David" w:hAnsi="David" w:cs="David"/>
          <w:sz w:val="24"/>
          <w:sz w:val="24"/>
          <w:szCs w:val="24"/>
          <w:rtl w:val="true"/>
        </w:rPr>
        <w:t>די ורמקול המחובר אליו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משפט השלום בת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א הטיל עליו שישה חודשי מאסר שירוצו בדרך של 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מאסר על תנאי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קנס ופיצוי למתלוננת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משפט זקף לזכותו של המבקש כי השתלב בתהליך טיפולי למניעת הישנותן של עבירות אלימות בעתיד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המדינה הגישה ערעור על קולת העונש והערעור התקבל כך שהושתו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עליו </w:t>
      </w:r>
      <w:r>
        <w:rPr>
          <w:rFonts w:cs="David" w:ascii="David" w:hAnsi="David"/>
          <w:sz w:val="24"/>
          <w:szCs w:val="24"/>
          <w:u w:val="single"/>
        </w:rPr>
        <w:t>8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חודשי מאסר לריצוי בפועל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וסכום הפיצוי למתלוננת הוגדל מסך של </w:t>
      </w:r>
      <w:r>
        <w:rPr>
          <w:rFonts w:cs="David" w:ascii="David" w:hAnsi="David"/>
          <w:sz w:val="24"/>
          <w:szCs w:val="24"/>
        </w:rPr>
        <w:t>1000</w:t>
      </w:r>
      <w:r>
        <w:rPr>
          <w:rFonts w:cs="David" w:ascii="David" w:hAnsi="David"/>
          <w:sz w:val="24"/>
          <w:szCs w:val="24"/>
          <w:rtl w:val="true"/>
        </w:rPr>
        <w:t xml:space="preserve"> ₪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לסך של </w:t>
      </w:r>
      <w:r>
        <w:rPr>
          <w:rFonts w:cs="David" w:ascii="David" w:hAnsi="David"/>
          <w:sz w:val="24"/>
          <w:szCs w:val="24"/>
        </w:rPr>
        <w:t>5000</w:t>
      </w:r>
      <w:r>
        <w:rPr>
          <w:rFonts w:cs="David" w:ascii="David" w:hAnsi="David"/>
          <w:sz w:val="24"/>
          <w:szCs w:val="24"/>
          <w:rtl w:val="true"/>
        </w:rPr>
        <w:t xml:space="preserve"> ₪. </w:t>
      </w:r>
      <w:r>
        <w:rPr>
          <w:rFonts w:ascii="David" w:hAnsi="David" w:cs="David"/>
          <w:sz w:val="24"/>
          <w:sz w:val="24"/>
          <w:szCs w:val="24"/>
          <w:rtl w:val="true"/>
        </w:rPr>
        <w:t>בקשת רשות ערעור שהוגשה לבית המשפט העליון מטעם המבקש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נדחתה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440" w:end="0"/>
        <w:jc w:val="both"/>
        <w:rPr>
          <w:rFonts w:ascii="David" w:hAnsi="David" w:cs="David"/>
          <w:sz w:val="24"/>
          <w:szCs w:val="24"/>
        </w:rPr>
      </w:pPr>
      <w:hyperlink r:id="rId1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66/16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דהן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פורסם בנבו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cs="David" w:ascii="David" w:hAnsi="David"/>
          <w:sz w:val="24"/>
          <w:szCs w:val="24"/>
        </w:rPr>
        <w:t>5.1.16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>המבקש היה סטודנט באוניברסיטת בר אילן שהיה בקשר זוגי עם המתלוננת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במהלך הקשר הזוגי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תקף אותה ועקב כך הוגש נגדו כתב אישום הכולל חמישה אישומים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באישומים הראשון והשני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נטען כי במהלך ויכוח שפרץ בינו לבינה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הוא תקף את המתלוננת על ידי כך שסטר בפניה והניח כרית על פניה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באישום השלישי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נאמר שסטר על פניה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בעט בה ודחף אותה ואף איים עליה שיפגע בה עם סכין ויפגע בעצמו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כתוצאה ממעשיו נגרמו למתלוננת שברים בצלעות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באישום הרביעי יוחסה לו עבירה של הפרת הוראה חוקית עקב כך שיצר עמה קשר על אף שנאסר עליו לעשות כן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באישום החמישי יוחסה לו עבירה של הדחה בחקירה מאחר וניסה למנוע ממנה למסור תלונה במשטרה כנגדו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המבקש היה ללא עבר פלילי קודם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עבר הליך שיקום עם שירות המבחן ואף החל בלימודי תואר שני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משפט השלום השית עליו </w:t>
      </w:r>
      <w:r>
        <w:rPr>
          <w:rFonts w:cs="David" w:ascii="David" w:hAnsi="David"/>
          <w:sz w:val="24"/>
          <w:szCs w:val="24"/>
          <w:u w:val="single"/>
        </w:rPr>
        <w:t>6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חודשי מאסר מאחורי סורג ובריח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וכן קנס ופיצוי למתלוננת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ערעורו לבית המשפט המחוזי נדחה וכן נדחתה בקשת רשות ערעור שהגיש לבית המשפט העליון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כל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הנני קובע כי מתחם העונש ההולם במקרה שבפני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 xml:space="preserve">נע בין </w:t>
      </w:r>
      <w:r>
        <w:rPr>
          <w:rFonts w:cs="David" w:ascii="David" w:hAnsi="David"/>
          <w:u w:val="single"/>
        </w:rPr>
        <w:t>15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ועד </w:t>
      </w:r>
      <w:r>
        <w:rPr>
          <w:rFonts w:cs="David" w:ascii="David" w:hAnsi="David"/>
          <w:u w:val="single"/>
        </w:rPr>
        <w:t>30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בצירוף 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 כספי ופיצוי למתלוננת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קביעת העונש המתאים בתוך מתחם העונש ההולם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בעת קביעת העונש המתאים בתוך מתחם העונש ההולם לקחתי בחשבון לקולא את השיקולים הבאים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העדר עבר פלילי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הנאשם נעדר סטטוס חוקי בישראל ולכן הוא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אשתו וילדיו אינם זוכים לשירותי בריאות ממלכתיים ולא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קצבאות מהמוסד לביטוח לאומי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הנאשם אב לשלושה ילדים קטינים שסמוכים לשולחנו ו</w:t>
      </w:r>
      <w:r>
        <w:rPr>
          <w:rFonts w:ascii="David" w:hAnsi="David"/>
          <w:rtl w:val="true"/>
        </w:rPr>
        <w:t xml:space="preserve">למאסרו יש </w:t>
      </w:r>
      <w:r>
        <w:rPr>
          <w:rFonts w:ascii="David" w:hAnsi="David"/>
          <w:rtl w:val="true"/>
        </w:rPr>
        <w:t xml:space="preserve">השלכות שליליות </w:t>
      </w:r>
      <w:r>
        <w:rPr>
          <w:rFonts w:ascii="David" w:hAnsi="David"/>
          <w:rtl w:val="true"/>
        </w:rPr>
        <w:t>על רווחתם הכלכלית והנפשית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אחד הילדים סובל מבעיות רפואיות מורכבות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הנני משית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1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בניכוי ימי מעצרו מיום </w:t>
      </w:r>
      <w:r>
        <w:rPr>
          <w:rFonts w:cs="David" w:ascii="David" w:hAnsi="David"/>
        </w:rPr>
        <w:t>27.5.22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 היום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והתנאי הוא שבמשך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ממועד שחרורו לא יבצע עבירת אלימות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מצבו הכלכלי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החלטתי שלא להשית </w:t>
      </w:r>
      <w:r>
        <w:rPr>
          <w:rFonts w:ascii="David" w:hAnsi="David"/>
          <w:rtl w:val="true"/>
        </w:rPr>
        <w:t>עליו ענישה בעלת אופי כלכלי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זכות ערעור תוך </w:t>
      </w:r>
      <w:r>
        <w:rPr>
          <w:rFonts w:cs="Arial" w:ascii="Arial" w:hAnsi="Arial"/>
          <w:b/>
          <w:bCs/>
          <w:sz w:val="26"/>
          <w:szCs w:val="26"/>
        </w:rPr>
        <w:t>45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ימים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ט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 אדר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08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מרץ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7"/>
      <w:footerReference w:type="default" r:id="rId1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/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1818-06-22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cs="David" w:ascii="David" w:hAnsi="David"/>
        <w:color w:val="000000"/>
        <w:sz w:val="22"/>
        <w:szCs w:val="22"/>
      </w:rPr>
      <w:t>ISMAEL OSMAN OMAR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440" w:hanging="72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33" TargetMode="External"/><Relationship Id="rId4" Type="http://schemas.openxmlformats.org/officeDocument/2006/relationships/hyperlink" Target="http://www.nevo.co.il/law/70301/382.b" TargetMode="External"/><Relationship Id="rId5" Type="http://schemas.openxmlformats.org/officeDocument/2006/relationships/hyperlink" Target="http://www.nevo.co.il/law/70301/382.c" TargetMode="External"/><Relationship Id="rId6" Type="http://schemas.openxmlformats.org/officeDocument/2006/relationships/hyperlink" Target="http://www.nevo.co.il/law/70301/382.c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333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382.b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5601530" TargetMode="External"/><Relationship Id="rId13" Type="http://schemas.openxmlformats.org/officeDocument/2006/relationships/hyperlink" Target="http://www.nevo.co.il/case/7680032" TargetMode="External"/><Relationship Id="rId14" Type="http://schemas.openxmlformats.org/officeDocument/2006/relationships/hyperlink" Target="http://www.nevo.co.il/case/5606505" TargetMode="External"/><Relationship Id="rId15" Type="http://schemas.openxmlformats.org/officeDocument/2006/relationships/hyperlink" Target="http://www.nevo.co.il/case/21472879" TargetMode="External"/><Relationship Id="rId16" Type="http://schemas.openxmlformats.org/officeDocument/2006/relationships/hyperlink" Target="http://www.nevo.co.il/advertisements/nevo-100.doc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2023-12-20T14:42:00Z</dcterms:created>
  <dc:creator> </dc:creator>
  <dc:description/>
  <cp:keywords/>
  <dc:language>en-IL</dc:language>
  <cp:lastModifiedBy>h2</cp:lastModifiedBy>
  <dcterms:modified xsi:type="dcterms:W3CDTF">2023-12-20T14:42:00Z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ISMAEL OSMAN OMAR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5601530;7680032;5606505;21472879</vt:lpwstr>
  </property>
  <property fmtid="{D5CDD505-2E9C-101B-9397-08002B2CF9AE}" pid="9" name="CITY">
    <vt:lpwstr>רמ'</vt:lpwstr>
  </property>
  <property fmtid="{D5CDD505-2E9C-101B-9397-08002B2CF9AE}" pid="10" name="DATE">
    <vt:lpwstr>20230308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70301/382.c;333;382.b</vt:lpwstr>
  </property>
  <property fmtid="{D5CDD505-2E9C-101B-9397-08002B2CF9AE}" pid="15" name="LAWYER">
    <vt:lpwstr>עדי סעדיה;עדי בקויה ממשרד עבד אבו עאמר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1818</vt:lpwstr>
  </property>
  <property fmtid="{D5CDD505-2E9C-101B-9397-08002B2CF9AE}" pid="22" name="NEWPARTB">
    <vt:lpwstr>06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380020230308</vt:lpwstr>
  </property>
  <property fmtid="{D5CDD505-2E9C-101B-9397-08002B2CF9AE}" pid="34" name="TYPE_N_DATE">
    <vt:lpwstr>38020230308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