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בקריות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18228-09-22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עמריה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2"/>
        <w:gridCol w:w="4078"/>
        <w:gridCol w:w="3820"/>
      </w:tblGrid>
      <w:tr>
        <w:trPr>
          <w:trHeight w:val="295" w:hRule="atLeast"/>
        </w:trPr>
        <w:tc>
          <w:tcPr>
            <w:tcW w:w="922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יוסי טורס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2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407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820" w:type="dxa"/>
            <w:tcBorders/>
          </w:tcPr>
          <w:p>
            <w:pPr>
              <w:pStyle w:val="Normal"/>
              <w:ind w:firstLine="2667"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89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07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זיד עמריה</w:t>
            </w:r>
          </w:p>
        </w:tc>
        <w:tc>
          <w:tcPr>
            <w:tcW w:w="3820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וההליכים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  <w:b/>
          <w:bCs/>
          <w:u w:val="single"/>
        </w:rPr>
      </w:pPr>
      <w:bookmarkStart w:id="7" w:name="ABSTRACT_START"/>
      <w:bookmarkEnd w:id="7"/>
      <w:r>
        <w:rPr>
          <w:rFonts w:ascii="David" w:hAnsi="David"/>
          <w:rtl w:val="true"/>
        </w:rPr>
        <w:t>הנאשם הורשע על פי הודאתו בעבירה של החזקת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–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בארון חדר הילדים שבביתו ארגז ברזל המשמש לתחמושת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לית ובו </w:t>
      </w:r>
      <w:r>
        <w:rPr>
          <w:rFonts w:cs="David" w:ascii="David" w:hAnsi="David"/>
        </w:rPr>
        <w:t>720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מסוג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אריזות</w:t>
      </w:r>
      <w:r>
        <w:rPr>
          <w:rFonts w:cs="David" w:ascii="David" w:hAnsi="David"/>
          <w:rtl w:val="true"/>
        </w:rPr>
        <w:t xml:space="preserve">. </w:t>
      </w:r>
      <w:bookmarkStart w:id="8" w:name="ABSTRACT_END"/>
      <w:bookmarkEnd w:id="8"/>
      <w:r>
        <w:rPr>
          <w:rFonts w:cs="David" w:ascii="David" w:hAnsi="David"/>
          <w:rtl w:val="true"/>
        </w:rPr>
        <w:tab/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rtl w:val="true"/>
        </w:rPr>
        <w:t>לצורך השלמת התמונה אציין כי הודאתו של הנאשם באה על רקע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במסגרתו הוסכם שהמאשימה תטען לעונש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שניתן לשאת בעבודות שירות ואילו ההגנה תטען באופן חופשי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הצדדים והראיות לעונש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 טיעונים בכתב והשלימם על 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עמדה על הערכים המוגנים שנפגעו במעשי הנאשם ועל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כמות התחמושת המשמעותית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ועתרה למתחם ענישה הנע בין </w:t>
      </w:r>
      <w:r>
        <w:rPr>
          <w:rFonts w:cs="David" w:ascii="David" w:hAnsi="David"/>
        </w:rPr>
        <w:t>6-18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לעונש שיש להטיל על הנאשם הודגש הצורך בהחמרה ובהרתעה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הסדר הטיעון והעבר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המאשימה להשית על הנאשם 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והתחייבות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עתר למתחם ענישה הנע בין מאסר מותנה ועד מספר חודשי מאסר שניתן לשאת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ציין שהנאשם הודה בהזדמנות הראשונה 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לנסיבות האישיות נטען כי הנאשם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לארבעה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ומפרנס את משפחתו ועברו 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 לעיל ביקש הסנגור להסתפק במאסר מותנה לצד ענישה נלוות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הצטער על מעשיו וביקש התחשבות לאור העובדה שהוא המפרנס היחיד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קביעת מתחם העונש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עבירות נשק פוגעות בערך המוגן של קדושת החיים והצורך בשמירה על 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בהקשר זה </w:t>
      </w:r>
      <w:r>
        <w:rPr>
          <w:rFonts w:ascii="Arial" w:hAnsi="Arial" w:cs="Arial"/>
          <w:rtl w:val="true"/>
        </w:rPr>
        <w:t>אפנה 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חאמד 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10.5.2022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צוין כי </w:t>
      </w:r>
      <w:r>
        <w:rPr>
          <w:rFonts w:cs="Arial" w:ascii="Arial" w:hAnsi="Arial"/>
          <w:rtl w:val="true"/>
        </w:rPr>
        <w:t>"</w:t>
      </w:r>
      <w:r>
        <w:rPr>
          <w:rFonts w:ascii="Miriam" w:hAnsi="Miriam" w:cs="Miriam"/>
          <w:rtl w:val="true"/>
        </w:rPr>
        <w:t>ביסוד עבירות אלו עומדת פגיעה בחיי האדם ובשלמות גופו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כמו גם בביטחון הציבור ובסדר הציבורי בכללותו </w:t>
      </w:r>
      <w:r>
        <w:rPr>
          <w:rFonts w:cs="Miriam" w:ascii="Miriam" w:hAnsi="Miriam"/>
          <w:rtl w:val="true"/>
        </w:rPr>
        <w:t xml:space="preserve">[..] </w:t>
      </w:r>
      <w:r>
        <w:rPr>
          <w:rFonts w:ascii="Miriam" w:hAnsi="Miriam" w:cs="Miriam"/>
          <w:rtl w:val="true"/>
        </w:rPr>
        <w:t>עבירות אלו חמורות במיוחד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בין היתר משום שהן עשויות לשמש בסיס לביצוע פעילות עבריינית או פעילות טרור</w:t>
      </w:r>
      <w:r>
        <w:rPr>
          <w:rFonts w:cs="Miriam" w:ascii="Miriam" w:hAnsi="Miriam"/>
          <w:rtl w:val="true"/>
        </w:rPr>
        <w:t>".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David" w:hAnsi="David"/>
          <w:rtl w:val="true"/>
        </w:rPr>
        <w:t xml:space="preserve">בפסיקה צוין כי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מידת החומרה מושפעת מסוג התחמושת שהוחזקה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כמותה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נסיבות החזקתה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נסיבות השגתה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המטרה לשמה הוחזקה התחמושת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זהות המחזיק בתחמושת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אורחותיו ועברו הפלילי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ועוד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(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9036-02-23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אסולין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15.3.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הפגיעה בערכים </w:t>
      </w:r>
      <w:r>
        <w:rPr>
          <w:rFonts w:ascii="David" w:hAnsi="David"/>
          <w:rtl w:val="true"/>
        </w:rPr>
        <w:t xml:space="preserve">המוגנים </w:t>
      </w:r>
      <w:r>
        <w:rPr>
          <w:rFonts w:ascii="David" w:hAnsi="David"/>
          <w:rtl w:val="true"/>
        </w:rPr>
        <w:t xml:space="preserve">גבוהה יחסית וזאת לאור </w:t>
      </w:r>
      <w:r>
        <w:rPr>
          <w:rFonts w:ascii="David" w:hAnsi="David"/>
          <w:rtl w:val="true"/>
        </w:rPr>
        <w:t xml:space="preserve">סוג </w:t>
      </w:r>
      <w:r>
        <w:rPr>
          <w:rFonts w:ascii="David" w:hAnsi="David"/>
          <w:rtl w:val="true"/>
        </w:rPr>
        <w:t xml:space="preserve">התחמושת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התואמת לנשק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למשל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והכמות </w:t>
      </w:r>
      <w:r>
        <w:rPr>
          <w:rFonts w:ascii="David" w:hAnsi="David"/>
          <w:rtl w:val="true"/>
        </w:rPr>
        <w:t>המשמעותית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אציין שמדובר בהחזקה במקום נגיש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בית מגורים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ובצד זאת יודגש שלא נמצא בבית נשק תואם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תחמושת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נתון רלוונטי נוסף הוא שהנאשם לא סיפק הסבר לסיבת ההחזקה ובוודאי שלא הוכיח ברמת ההוכחה הנדרשת נסיבה מקלה כלשהי שמקהה את המסוכנות האינהרנטית הטמונה בהחזקת נשק או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זה אציין שאין בדבריו בשלב הטיעונים לעונש לעמוד בדרישות להוכחת נסיבה מקלה </w:t>
      </w:r>
      <w:r>
        <w:rPr>
          <w:rFonts w:cs="David" w:ascii="David" w:hAnsi="David"/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7349/14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14.5.2015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שסיבת ההחזקה ונסיבותיה נותרו עלומות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 xml:space="preserve">מדיניות </w:t>
      </w:r>
      <w:r>
        <w:rPr>
          <w:rFonts w:ascii="Arial" w:hAnsi="Arial" w:cs="Arial"/>
          <w:rtl w:val="true"/>
        </w:rPr>
        <w:t xml:space="preserve">הענישה </w:t>
      </w:r>
      <w:r>
        <w:rPr>
          <w:rFonts w:ascii="Arial" w:hAnsi="Arial" w:cs="Arial"/>
          <w:rtl w:val="true"/>
        </w:rPr>
        <w:t>הנוהגת</w:t>
      </w:r>
      <w:r>
        <w:rPr>
          <w:rFonts w:ascii="Arial" w:hAnsi="Arial" w:cs="Arial"/>
          <w:rtl w:val="true"/>
        </w:rPr>
        <w:t xml:space="preserve"> בעבירות נשק הוחמרה בשנים האחרונות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קבע בשורה ארוכה של מקרים כי על בתי המשפט לתרום תרומתם בביעור עבירות הנשק וכי יש צורך בהחמרה בענישה במקרים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1134" w:end="709"/>
        <w:jc w:val="both"/>
        <w:rPr>
          <w:rFonts w:ascii="David" w:hAnsi="David" w:cs="David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אין צורך להכביר במילים על אודות החומרה הנלווית לעבירות נשק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אין היום חולקין כי עבירות מסוג זה הפכו ל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מכת מדינה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 ממש</w:t>
      </w:r>
      <w:r>
        <w:rPr>
          <w:rFonts w:cs="Miriam" w:ascii="Miriam" w:hAnsi="Miriam"/>
          <w:rtl w:val="true"/>
        </w:rPr>
        <w:t>...</w:t>
      </w:r>
      <w:r>
        <w:rPr>
          <w:rFonts w:ascii="Miriam" w:hAnsi="Miriam" w:cs="Miriam"/>
          <w:rtl w:val="true"/>
        </w:rPr>
        <w:t>מכה זו מצריכה מענה הולם בדמות ענישה מחמירה של הטלת עונשי מאסר משמעותיים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מצויים אנו לעת הזאת במצב חירום של ממש בעניין 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ולא בכדי נתקבל עתה תיקון ל</w:t>
      </w:r>
      <w:hyperlink r:id="rId1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חוק העונשין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תיקון מס</w:t>
      </w:r>
      <w:r>
        <w:rPr>
          <w:rFonts w:cs="Miriam" w:ascii="Miriam" w:hAnsi="Miriam"/>
          <w:rtl w:val="true"/>
        </w:rPr>
        <w:t xml:space="preserve">' </w:t>
      </w:r>
      <w:r>
        <w:rPr>
          <w:rFonts w:cs="Miriam" w:ascii="Miriam" w:hAnsi="Miriam"/>
        </w:rPr>
        <w:t>140</w:t>
      </w:r>
      <w:r>
        <w:rPr>
          <w:rFonts w:cs="Miriam" w:ascii="Miriam" w:hAnsi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הוראת שעה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>התשפ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2021</w:t>
      </w:r>
      <w:r>
        <w:rPr>
          <w:rFonts w:cs="Miriam" w:ascii="Miriam" w:hAnsi="Miriam"/>
          <w:rtl w:val="true"/>
        </w:rPr>
        <w:t xml:space="preserve">) – </w:t>
      </w:r>
      <w:r>
        <w:rPr>
          <w:rFonts w:ascii="Miriam" w:hAnsi="Miriam" w:cs="Miriam"/>
          <w:rtl w:val="true"/>
        </w:rPr>
        <w:t>שלא חל בענייננו – הקובע עונשי מינימום לעבירות נשק</w:t>
      </w:r>
      <w:r>
        <w:rPr>
          <w:rFonts w:cs="Miriam" w:ascii="Miriam" w:hAnsi="Miriam"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2251/21</w:t>
        </w:r>
      </w:hyperlink>
      <w:r>
        <w:rPr>
          <w:rFonts w:cs="David" w:ascii="David" w:hAnsi="David"/>
          <w:color w:val="000000"/>
          <w:rtl w:val="true"/>
        </w:rPr>
        <w:t xml:space="preserve"> ‏</w:t>
      </w:r>
      <w:r>
        <w:rPr>
          <w:rFonts w:ascii="David" w:hAnsi="David"/>
          <w:b/>
          <w:b/>
          <w:bCs/>
          <w:color w:val="000000"/>
          <w:rtl w:val="true"/>
        </w:rPr>
        <w:t>אנואר אבו עראר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15.12.2021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ראו גם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</w:t>
      </w:r>
      <w:r>
        <w:rPr>
          <w:rFonts w:cs="David" w:ascii="David" w:hAnsi="David"/>
        </w:rPr>
        <w:t>20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מדובר בתחמושת לנשק ולא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אין בכך ללמד כי לא מדובר בעבירה בעלת חומרה ומובן שאותו רציונל המלמד על החומרה בהחזקת נשק חל גם ביחס להחזקת תחמושת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 שכן בכמות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שהרי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טבעם של דברים הוא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כי התחמושת היא בבחינת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תנאי בלעדיו אין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לביצוע ירי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ובסופו של יום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נשקים ותחמושת שהושגו שלא כדין מובילים לפגיעה בחיי אדם ולא פעם בקורבנות תמימים</w:t>
      </w:r>
      <w:r>
        <w:rPr>
          <w:rFonts w:cs="Miriam" w:ascii="Miriam" w:hAnsi="Miriam"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b/>
          <w:b/>
          <w:bCs/>
          <w:rtl w:val="true"/>
        </w:rPr>
        <w:t>עדאב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נאעסה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>))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בחינת מדיניות הענישה בעבירות דומות אפנה לפסקי הדין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9036-02-23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אסולין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15.3.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התקבל ערעור נאשם על חומרת עונשו והוטל עליו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תחת עונש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מ</w:t>
      </w:r>
      <w:r>
        <w:rPr>
          <w:rFonts w:ascii="David" w:hAnsi="David"/>
          <w:rtl w:val="true"/>
        </w:rPr>
        <w:t xml:space="preserve">דובר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 xml:space="preserve">בנאשם שהורשע בהחזקת </w:t>
      </w:r>
      <w:r>
        <w:rPr>
          <w:rFonts w:cs="David" w:ascii="David" w:hAnsi="David"/>
        </w:rPr>
        <w:t>120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הביא בחשבון כי הסברו של הנאשם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יש בסיס להנחה שהחזקת התחמושת על ידי המערער לא היתה למטרה עבריינית</w:t>
      </w:r>
      <w:r>
        <w:rPr>
          <w:rFonts w:cs="Miriam" w:ascii="Miriam" w:hAnsi="Miriam"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66124-12-19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רביע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27.07.2022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הורשע נאשם בעבירת החזקת תחמושת בכך שהחזיק בביתו </w:t>
      </w:r>
      <w:r>
        <w:rPr>
          <w:rFonts w:cs="David" w:ascii="David" w:hAnsi="David"/>
        </w:rPr>
        <w:t>1183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תחמישים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תרמילים וכן כדור צייד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הנע בין תקופת מאסר קצרה לריצוי בעבודות שירות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41041-07-21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גאזי אמארה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9.2.2022</w:t>
      </w:r>
      <w:r>
        <w:rPr>
          <w:rFonts w:cs="David" w:ascii="David" w:hAnsi="David"/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צהלית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4,957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67410-12-21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/>
        <w:t>960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10380-03-21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2.11.2021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- 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ובאחת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</w:rPr>
          <w:t>8274-01-21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29.6.2021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- 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לאור כך אני בדעה כי מתחם הענישה ההולם עבירה זו בנסיבות ביצועה נע בין מאסר קצר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קביעת עונשו של הנאשם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ascii="David" w:hAnsi="David"/>
          <w:rtl w:val="true"/>
        </w:rPr>
        <w:t xml:space="preserve"> את גילו 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עברו הפלילי</w:t>
      </w:r>
      <w:r>
        <w:rPr>
          <w:rFonts w:ascii="Arial" w:hAnsi="Arial" w:cs="Arial"/>
          <w:rtl w:val="true"/>
        </w:rPr>
        <w:t xml:space="preserve"> הנקי והודאתו בכתב האישום אשר ביטאה קבלת אחריות והפנמת הפסול שבמעשה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הבאתי בחשבון את הפגיעה הכלכלית שתיגרם לנאשם ולמשפחתו בשל מאסר ממושך ולו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עם זאת אציין כי בית המשפט העליון הדגיש שבעבירות בנשק יש להעניק משקל ממשי לשיקולי ההלימה וההרתעה אף כאשר מדובר בנאשמים נעדרי עבר 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למשל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</w:t>
      </w:r>
      <w:r>
        <w:rPr>
          <w:rFonts w:cs="David" w:ascii="David" w:hAnsi="David"/>
        </w:rPr>
        <w:t>2022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). </w:t>
      </w:r>
      <w:r>
        <w:rPr>
          <w:rFonts w:ascii="David" w:hAnsi="David"/>
          <w:rtl w:val="true"/>
        </w:rPr>
        <w:t>בצד דברים אלו הבאתי בחשבון את הסדר הטיעון שבין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הגביל את המאשימה לעונש נמוך משמעותית מגבולו העליון של מתחם הענישה שקבעתי ולמעשה המאשימה ביקשה להטיל עונש בגבול התחתון של המתחם שהציעה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סיכומו של דבר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שבחנתי את מכלול השיקולים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 לקולה והן לחומרה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מטיל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1.4.24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תקופת עונש עבודות השירות אני נמנע מהטלת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המוצג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תחמושת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–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להשמדה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המזכירות תשלח את גזר הדין לממונה על עבודות השירות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הודעה זכות ערעור לבית המשפט המחוזי בתוך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ימים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ListParagraph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/>
      </w:pPr>
      <w:bookmarkStart w:id="9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שבט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פברואר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9"/>
      <w:r>
        <w:rPr>
          <w:rFonts w:cs="David" w:ascii="David" w:hAnsi="David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טורס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קריות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18228-09-22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זיד עמריה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243273" TargetMode="External"/><Relationship Id="rId9" Type="http://schemas.openxmlformats.org/officeDocument/2006/relationships/hyperlink" Target="http://www.nevo.co.il/case/29372283" TargetMode="External"/><Relationship Id="rId10" Type="http://schemas.openxmlformats.org/officeDocument/2006/relationships/hyperlink" Target="http://www.nevo.co.il/case/18131336" TargetMode="External"/><Relationship Id="rId11" Type="http://schemas.openxmlformats.org/officeDocument/2006/relationships/hyperlink" Target="http://www.nevo.co.il/law/70301/40j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513376" TargetMode="External"/><Relationship Id="rId15" Type="http://schemas.openxmlformats.org/officeDocument/2006/relationships/hyperlink" Target="http://www.nevo.co.il/case/27734980" TargetMode="External"/><Relationship Id="rId16" Type="http://schemas.openxmlformats.org/officeDocument/2006/relationships/hyperlink" Target="http://www.nevo.co.il/case/27648787" TargetMode="External"/><Relationship Id="rId17" Type="http://schemas.openxmlformats.org/officeDocument/2006/relationships/hyperlink" Target="http://www.nevo.co.il/case/28268880" TargetMode="External"/><Relationship Id="rId18" Type="http://schemas.openxmlformats.org/officeDocument/2006/relationships/hyperlink" Target="http://www.nevo.co.il/case/29372283" TargetMode="External"/><Relationship Id="rId19" Type="http://schemas.openxmlformats.org/officeDocument/2006/relationships/hyperlink" Target="http://www.nevo.co.il/case/26309644" TargetMode="External"/><Relationship Id="rId20" Type="http://schemas.openxmlformats.org/officeDocument/2006/relationships/hyperlink" Target="http://www.nevo.co.il/case/27796716" TargetMode="External"/><Relationship Id="rId21" Type="http://schemas.openxmlformats.org/officeDocument/2006/relationships/hyperlink" Target="http://www.nevo.co.il/case/28211721" TargetMode="External"/><Relationship Id="rId22" Type="http://schemas.openxmlformats.org/officeDocument/2006/relationships/hyperlink" Target="http://www.nevo.co.il/case/27448697" TargetMode="External"/><Relationship Id="rId23" Type="http://schemas.openxmlformats.org/officeDocument/2006/relationships/hyperlink" Target="http://www.nevo.co.il/case/26331984" TargetMode="External"/><Relationship Id="rId24" Type="http://schemas.openxmlformats.org/officeDocument/2006/relationships/hyperlink" Target="http://www.nevo.co.il/case/28697218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2024-12-04T09:00:00Z</dcterms:created>
  <dc:creator> </dc:creator>
  <dc:description/>
  <cp:keywords/>
  <dc:language>en-IL</dc:language>
  <cp:lastModifiedBy>h1</cp:lastModifiedBy>
  <dcterms:modified xsi:type="dcterms:W3CDTF">2024-12-04T09:00:00Z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זיד עמריה</vt:lpwstr>
  </property>
  <property fmtid="{D5CDD505-2E9C-101B-9397-08002B2CF9AE}" pid="4" name="CASESLISTTMP1">
    <vt:lpwstr>28243273;29372283:2;18131336;27513376;27734980;27648787;28268880;26309644;27796716;28211721;27448697;26331984;28697218</vt:lpwstr>
  </property>
  <property fmtid="{D5CDD505-2E9C-101B-9397-08002B2CF9AE}" pid="5" name="CITY">
    <vt:lpwstr>קריות</vt:lpwstr>
  </property>
  <property fmtid="{D5CDD505-2E9C-101B-9397-08002B2CF9AE}" pid="6" name="DATE">
    <vt:lpwstr>20240207</vt:lpwstr>
  </property>
  <property fmtid="{D5CDD505-2E9C-101B-9397-08002B2CF9AE}" pid="7" name="ISABSTRACT">
    <vt:lpwstr>Y</vt:lpwstr>
  </property>
  <property fmtid="{D5CDD505-2E9C-101B-9397-08002B2CF9AE}" pid="8" name="JUDGE">
    <vt:lpwstr>יוסי טורס</vt:lpwstr>
  </property>
  <property fmtid="{D5CDD505-2E9C-101B-9397-08002B2CF9AE}" pid="9" name="LAWLISTTMP1">
    <vt:lpwstr>70301/144.a;040j;144</vt:lpwstr>
  </property>
  <property fmtid="{D5CDD505-2E9C-101B-9397-08002B2CF9AE}" pid="10" name="NEWPARTA">
    <vt:lpwstr>18228</vt:lpwstr>
  </property>
  <property fmtid="{D5CDD505-2E9C-101B-9397-08002B2CF9AE}" pid="11" name="NEWPARTB">
    <vt:lpwstr>09</vt:lpwstr>
  </property>
  <property fmtid="{D5CDD505-2E9C-101B-9397-08002B2CF9AE}" pid="12" name="NEWPARTC">
    <vt:lpwstr>22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380020240207</vt:lpwstr>
  </property>
  <property fmtid="{D5CDD505-2E9C-101B-9397-08002B2CF9AE}" pid="17" name="TYPE_N_DATE">
    <vt:lpwstr>38020240207</vt:lpwstr>
  </property>
  <property fmtid="{D5CDD505-2E9C-101B-9397-08002B2CF9AE}" pid="18" name="WORDNUMPAGES">
    <vt:lpwstr>5</vt:lpwstr>
  </property>
</Properties>
</file>