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18327-09-22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מרציאנו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שוש שטרית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תביעות נגב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גל גבאי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יותם יהודה מרציאנו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הובא 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שב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מוני בן מוחה ועו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אור בן שאנן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bookmarkStart w:id="11" w:name="ABSTRACT_END"/>
      <w:bookmarkEnd w:id="11"/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מהחלק הכללי של כתב האישום עולה כי עובר ליום </w:t>
      </w:r>
      <w:r>
        <w:rPr>
          <w:rFonts w:cs="Arial" w:ascii="Arial" w:hAnsi="Arial"/>
        </w:rPr>
        <w:t>05.08.2022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התגורר הנאשם בדירה שכורה ברח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סנהדרין </w:t>
      </w:r>
      <w:r>
        <w:rPr>
          <w:rFonts w:cs="Arial" w:ascii="Arial" w:hAnsi="Arial"/>
        </w:rPr>
        <w:t>81/1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בבאר שבע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05.08.2022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18:30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שהה הנאשם יחד עם קרובי משפחתו בכניסה לבית אמו בבאר שבע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נשמעו קולות ירי בקרבת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יחד עם בני משפחתו נמלטו לתוך בית אמו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העובדות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כעבור כ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מהמתואר בחלק הכללי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17.08.2022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 כי באחד החדרים שבבית אמו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קופסא שבארון הבגדים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הנאשם באקדח חצי אוטומט מדגם </w:t>
      </w:r>
      <w:r>
        <w:rPr>
          <w:rFonts w:cs="Arial" w:ascii="Arial" w:hAnsi="Arial"/>
        </w:rPr>
        <w:t>CZ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אשר הינו כלי ירי ובכוחו להמית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ולידו מחסנית מלאה ב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mm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ללא היתר כדין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הערכת שירות 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גילו  של הנאשם בעת ביצוע העבירה נדרש תסקיר חובה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מהתסקיר נלמד כי הנאשם  כי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טרם מעצרו התגורר עם בת זוגתו בדירה שכורה בבאר שבע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בתחום המזון המהיר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נולד בישראל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מעורבותו באירוע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סולק מבית הספר התיכון בו למד ושולב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פרויקט הילה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עד היותו תלמיד כיתה י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ובהיותו תלמיד בכיתה 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נשר מלימודיו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סיים את שירותו הצבאי נוכח שביקש להמשיך בשגרת עבודתו בכדי לסייע בפרנסת משפחתו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מקורותיו עולה כי הוא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הינו השני מבין שלושת אחיו בגילאים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עמם תיאר קשר תקין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אשר לאביו מסר כי הקשר עמו נותק לפני כ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סמוך לאחר גירושי הוריו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ממידע שהועבר משירות המבחן לנוער עולה כי הנאשם גדל והתפתח בנסיבות משפחתיות מורכבות הכוללות מסכת גירושים קשה של הוריו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העדר דמות אב ומערכת יחסים סימביוטית עם אמו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לנוער התרשם מנער מכבד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יכולת ליצור 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יכולת לנתינת אמון בגורמי טיפולי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נמסר על קיומם של גורמי סיכון רבים ובהם הסתבכותו באירוע אלימות  מגיל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 הופנה לשירות המבחן לנוער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לדעת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נוטל אחריות חלקית על ביצוע העבירה בה הורשע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בהינתן בהסברי הנאשם לרכישת הנשק והחזקתו נוכח איום שחש בשל הצורך להגן על אחיו ובני משפחתו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הנאשם טען כי אין לו ידע בשימוש בנשק וכי לא שיתף את בני משפחתו ברכישת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המבחן התרשם כי הנאשם מצמצם מידע בנוגע למעורבותו בחברה שולית והעריך קיומה של התנהלות שולית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לדיווח הנאשם על כי הוא ובני משפחתו מעורבים בסכסוכים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הביע בפני השירות רצונו להעמיק בהתבוננות על השלכות מעשיו ונטייתו לפעול ללא מחשבה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רצונו לרכוש כלים לשליטה בכעסיו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להערכת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שלנאשם יכולת להתבוננות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בהצהרות מילוליות וראשוניות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בבואו של השירות לגבש המלצתו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הביא מחד את 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כי נעדר הרשעות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הצהרותיו המילוליות באשר לרצונו להשתלב בהליך טיפולי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הביא בחשבון את חשבון חומרת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דפוסיו האלימים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מעורבותו בחברה שולית ואי נטילת אחריותו המלאה על ביצוע העבירה הנוכחית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 בהמלצה על הטלת ענישה מוחשית אשר תחדד לנאשם את חומרת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השירות הוסיף המלצתו לשילוב הנאשם בהליך טיפולי בתחום האלימות בין כתלי הכלא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שהנאשם ירצה בכך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ראיות ותמצית טיעוני הצדדים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.  </w:t>
        <w:tab/>
      </w:r>
      <w:r>
        <w:rPr>
          <w:rFonts w:ascii="Arial" w:hAnsi="Arial" w:cs="Arial"/>
          <w:rtl w:val="true"/>
        </w:rPr>
        <w:t>ההגנה העידה את אמו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קרולין מרציאנו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מסרה כי בהתנהלותה גרמה לבנה להחזיק נשק בלתי חוקי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יריות שנורו לעבר ביתה מספר ימים קודם תפיסת הנשק בביתה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הייתה נתונה בחרדה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והזעיקה את הנאשם אשר  לא מתגורר עמה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 אילו לא הייתה מערבת את הנאשם ונמנעת מלשקף לו את מצבה החרדתי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 ולא היה מבצע את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בטיעוניה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הכתובים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עמדה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>/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כנסיבות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tl w:val="true"/>
        </w:rPr>
        <w:t xml:space="preserve">,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/>
        <w:t>6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והחיים</w:t>
      </w:r>
      <w:r>
        <w:rPr>
          <w:rtl w:val="true"/>
        </w:rPr>
        <w:t xml:space="preserve">, 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הביקוש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מעודדת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מסלימים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קטלניים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40" w:after="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העונש המרבי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הקבוע לצדה של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מבטא  את החומרה היתרה אותה מייחס המחוקק לעבירה זו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-57" w:end="0"/>
        <w:contextualSpacing/>
        <w:jc w:val="both"/>
        <w:rPr>
          <w:b/>
          <w:bCs/>
        </w:rPr>
      </w:pP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האזרחית</w:t>
      </w:r>
      <w:r>
        <w:rPr>
          <w:rtl w:val="true"/>
        </w:rPr>
        <w:t xml:space="preserve">.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5.11.19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</w:rPr>
          <w:t>1729/19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עבאהרה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3169/21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21.06.21</w:t>
      </w:r>
      <w:r>
        <w:rPr>
          <w:rtl w:val="true"/>
        </w:rPr>
        <w:t xml:space="preserve">) . </w:t>
      </w:r>
    </w:p>
    <w:p>
      <w:pPr>
        <w:pStyle w:val="Normal"/>
        <w:spacing w:lineRule="auto" w:line="360" w:before="240" w:after="0"/>
        <w:ind w:end="0"/>
        <w:jc w:val="both"/>
        <w:rPr>
          <w:rFonts w:ascii="David" w:hAnsi="David" w:cs="David"/>
          <w:lang w:val="en-IL" w:eastAsia="en-IL"/>
        </w:rPr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בהוראת השעה שבתיקון מספר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ב –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מכוונת להחמרת הענישה תוך קביעת עונש מינימום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 xml:space="preserve">משהורשע אדם בעבירה לפי סעיף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לא יפחת עונשו מרבע העונש המרבי שנקבע לאותה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דהיינו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כולל מאסר על תנאי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אלא אם יחליט בית המשפט מטעמים מיוחדים שירשמו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להקל בעונשו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Fonts w:ascii="David" w:hAnsi="David"/>
          <w:rtl w:val="true"/>
        </w:rPr>
        <w:t xml:space="preserve">בדברי ההסבר להצעה לתיקון החוק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קריאה ראשונה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נמצא התייחסות לעליה המשמעותית ב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האחרונות במספר העבירות של החזקת הנשק שלא כדין ולעבירות הקשורות לעבירה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בפרט בחברה הערבית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בדברי ההסבר הודגש כי השימוש בעונש מינימום שהינו כלי חריג ויוצא דופן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בעיקר לאחר תיקון 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שקבע את הבניית שיקול הדעת השיפוטי בענישה</w:t>
      </w:r>
      <w:r>
        <w:rPr>
          <w:rFonts w:cs="David" w:ascii="David" w:hAnsi="David"/>
          <w:rtl w:val="true"/>
        </w:rPr>
        <w:t xml:space="preserve">)  </w:t>
      </w:r>
      <w:r>
        <w:rPr>
          <w:rFonts w:ascii="David" w:hAnsi="David"/>
          <w:rtl w:val="true"/>
        </w:rPr>
        <w:t>מחויב המציאות נוכח התפשטות והתחמשות של קבוצות גדולות באוכלוסייה בנשק בלתי חוקי והשלכותיה החמורות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ונועד </w:t>
      </w:r>
      <w:r>
        <w:rPr>
          <w:rFonts w:ascii="David" w:hAnsi="David"/>
          <w:b/>
          <w:b/>
          <w:bCs/>
          <w:rtl w:val="true"/>
        </w:rPr>
        <w:t>להביא לשינוי המבוקש בהעלאת רמת הענישה ובהגברת ההרתעה במהלך התקופה בה חלה הוראת השעה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הדברים האמורים מקבלים ביטוי גם בדברי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המתמצתים בפגיעה שבעבירות הנשק ובחובת בתי המשפט לענישה מכבידה כדי להרתיע</w:t>
      </w:r>
      <w:r>
        <w:rPr>
          <w:rFonts w:cs="David" w:ascii="David" w:hAnsi="David"/>
          <w:rtl w:val="true"/>
        </w:rPr>
        <w:t xml:space="preserve">:  </w:t>
      </w:r>
    </w:p>
    <w:p>
      <w:pPr>
        <w:pStyle w:val="Normal"/>
        <w:spacing w:lineRule="auto" w:line="360" w:before="0" w:after="160"/>
        <w:ind w:start="794" w:end="851"/>
        <w:jc w:val="both"/>
        <w:rPr>
          <w:rFonts w:ascii="Miriam" w:hAnsi="Miriam" w:cs="Miriam"/>
          <w:sz w:val="22"/>
          <w:szCs w:val="22"/>
        </w:rPr>
      </w:pPr>
      <w:r>
        <w:rPr>
          <w:rFonts w:cs="Miriam" w:ascii="Miriam" w:hAnsi="Miriam"/>
          <w:sz w:val="22"/>
          <w:szCs w:val="22"/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החזקת נשק שלא כדין מאיימת על שלום הציבור ובטחונו </w:t>
      </w:r>
      <w:r>
        <w:rPr>
          <w:rFonts w:cs="Miriam" w:ascii="Miriam" w:hAnsi="Miriam"/>
          <w:sz w:val="22"/>
          <w:szCs w:val="22"/>
          <w:rtl w:val="true"/>
        </w:rPr>
        <w:t xml:space="preserve">[...]. </w:t>
      </w:r>
      <w:r>
        <w:rPr>
          <w:rFonts w:ascii="Miriam" w:hAnsi="Miriam" w:cs="Miriam"/>
          <w:sz w:val="22"/>
          <w:sz w:val="22"/>
          <w:szCs w:val="22"/>
          <w:rtl w:val="true"/>
        </w:rPr>
        <w:t>לנוכח היקפן המתרחב של עבירות המבוצעות בנשק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הזמינות הבלתי נסבלת של נשק בידי מי שאינו מורשה לכך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Miriam" w:ascii="Miriam" w:hAnsi="Miriam"/>
          <w:sz w:val="22"/>
          <w:szCs w:val="22"/>
          <w:rtl w:val="true"/>
        </w:rPr>
        <w:t xml:space="preserve">[...] </w:t>
      </w:r>
      <w:r>
        <w:rPr>
          <w:rFonts w:ascii="Miriam" w:hAnsi="Miriam" w:cs="Miriam"/>
          <w:sz w:val="22"/>
          <w:sz w:val="22"/>
          <w:szCs w:val="22"/>
          <w:rtl w:val="true"/>
        </w:rPr>
        <w:t>כמו גם לאסונות נוראיים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יעידו על כך ריבוי המקרים במגזר הערבי בעת האחרונה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Miriam" w:ascii="Miriam" w:hAnsi="Miriam"/>
          <w:sz w:val="22"/>
          <w:szCs w:val="22"/>
          <w:rtl w:val="true"/>
        </w:rPr>
        <w:t>-</w:t>
      </w:r>
      <w:r>
        <w:rPr>
          <w:rFonts w:ascii="Miriam" w:hAnsi="Miriam" w:cs="Miriam"/>
          <w:sz w:val="22"/>
          <w:sz w:val="22"/>
          <w:szCs w:val="22"/>
          <w:rtl w:val="true"/>
        </w:rPr>
        <w:t>מבצרם או בגן השעשועים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כל זאת כתוצאה משימוש בנשק של אחרים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מציאות קשה זו מחייבת לנקוט ביד מחמירה כלפי מעורבים בעבירות נשק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אף אם הם נעדרי עבר פלילי </w:t>
      </w:r>
      <w:r>
        <w:rPr>
          <w:rFonts w:cs="Miriam" w:ascii="Miriam" w:hAnsi="Miriam"/>
          <w:sz w:val="22"/>
          <w:szCs w:val="22"/>
          <w:rtl w:val="true"/>
        </w:rPr>
        <w:t xml:space="preserve">[...].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ענייננו ב</w:t>
      </w:r>
      <w:r>
        <w:rPr>
          <w:rFonts w:cs="Miriam" w:ascii="Miriam" w:hAnsi="Miriam"/>
          <w:b/>
          <w:bCs/>
          <w:sz w:val="22"/>
          <w:szCs w:val="22"/>
          <w:rtl w:val="true"/>
        </w:rPr>
        <w:t>'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מכת מדינה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'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שהצורך להילחם בה על מנת להגן על הציבור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מצריך מענה הולם והטלת עונשי מאסר משמעותיים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Fonts w:cs="Miriam" w:ascii="Miriam" w:hAnsi="Miriam"/>
          <w:sz w:val="22"/>
          <w:szCs w:val="22"/>
          <w:rtl w:val="true"/>
        </w:rPr>
        <w:t xml:space="preserve">[...]. </w:t>
      </w:r>
      <w:r>
        <w:rPr>
          <w:rFonts w:ascii="Miriam" w:hAnsi="Miriam" w:cs="Miriam"/>
          <w:sz w:val="22"/>
          <w:sz w:val="22"/>
          <w:szCs w:val="22"/>
          <w:rtl w:val="true"/>
        </w:rPr>
        <w:t>ידע כל מי שמחזיק בנשק בלתי חוקי כי צפוי הוא להיענש בחומרה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בבחינת </w:t>
      </w:r>
      <w:r>
        <w:rPr>
          <w:rFonts w:cs="Miriam" w:ascii="Miriam" w:hAnsi="Miriam"/>
          <w:b/>
          <w:bCs/>
          <w:sz w:val="22"/>
          <w:szCs w:val="22"/>
          <w:rtl w:val="true"/>
        </w:rPr>
        <w:t>'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אם מחזיקים – למאסר נשלחים</w:t>
      </w:r>
      <w:r>
        <w:rPr>
          <w:rFonts w:cs="Miriam" w:ascii="Miriam" w:hAnsi="Miriam"/>
          <w:b/>
          <w:bCs/>
          <w:sz w:val="22"/>
          <w:szCs w:val="22"/>
          <w:rtl w:val="true"/>
        </w:rPr>
        <w:t>".</w:t>
      </w:r>
    </w:p>
    <w:p>
      <w:pPr>
        <w:pStyle w:val="Normal"/>
        <w:spacing w:lineRule="auto" w:line="360" w:before="240" w:after="0"/>
        <w:ind w:end="0"/>
        <w:jc w:val="both"/>
        <w:rPr>
          <w:rFonts w:ascii="David" w:hAnsi="David" w:cs="David"/>
          <w:color w:val="000000"/>
          <w:spacing w:val="10"/>
        </w:rPr>
      </w:pPr>
      <w:r>
        <w:rPr/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חצי אוטומטי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לידו מחסנית מלאה ב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mm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ושניהם היו זמנים ונגישים לנאשם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החזקת הנאשם את האקדח יש אך להוסיף ולהעצים בסיכונים ובסיכויים הגבוהים לעשות בו 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ניסיון החיים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מלמד כי נשק המוחזק שלא כדין עלול במהרה למצוא את דרכו כפתרון לסכסוכים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לידיים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עוינות אשר יעשו בו שימוש למטרות פליליות או ביטחוניות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 בדברי בית המשפט </w:t>
      </w:r>
      <w:r>
        <w:rPr>
          <w:rtl w:val="true"/>
        </w:rPr>
        <w:t>ב</w:t>
      </w:r>
      <w:hyperlink r:id="rId13"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</w:rPr>
          <w:t>4406/19</w:t>
        </w:r>
      </w:hyperlink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cs="David" w:ascii="David" w:hAnsi="David"/>
          <w:b/>
          <w:bCs/>
          <w:spacing w:val="10"/>
          <w:rtl w:val="true"/>
        </w:rPr>
        <w:t>‏</w:t>
      </w:r>
      <w:r>
        <w:rPr>
          <w:rFonts w:ascii="David" w:hAnsi="David"/>
          <w:b/>
          <w:b/>
          <w:bCs/>
          <w:rtl w:val="true"/>
        </w:rPr>
        <w:t xml:space="preserve">מדינת </w:t>
      </w:r>
      <w:r>
        <w:rPr>
          <w:rFonts w:ascii="David" w:hAnsi="David"/>
          <w:b/>
          <w:b/>
          <w:bCs/>
          <w:color w:val="000000"/>
          <w:rtl w:val="true"/>
        </w:rPr>
        <w:t>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סובח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 xml:space="preserve"> הנ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>"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>ל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 xml:space="preserve">:  </w:t>
      </w:r>
    </w:p>
    <w:p>
      <w:pPr>
        <w:pStyle w:val="Normal"/>
        <w:spacing w:lineRule="atLeast" w:line="330"/>
        <w:ind w:start="794" w:end="993"/>
        <w:jc w:val="both"/>
        <w:rPr/>
      </w:pPr>
      <w:r>
        <w:rPr>
          <w:rFonts w:eastAsia="David" w:cs="David" w:ascii="David" w:hAnsi="David"/>
          <w:color w:val="000000"/>
          <w:spacing w:val="10"/>
          <w:shd w:fill="FFFFFF" w:val="clear"/>
          <w:rtl w:val="true"/>
        </w:rPr>
        <w:t xml:space="preserve"> 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>"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היא התשתית ו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>'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הגורם בלעדו איין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>(</w:t>
      </w:r>
      <w:r>
        <w:rPr>
          <w:rFonts w:cs="Miriam" w:ascii="Miriam" w:hAnsi="Miriam"/>
          <w:color w:val="000000"/>
          <w:spacing w:val="10"/>
          <w:sz w:val="22"/>
          <w:szCs w:val="22"/>
        </w:rPr>
        <w:t>causa sine qua non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) 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'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למגוון רחב של עבירות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 xml:space="preserve">החל בעבירות איומים 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[...]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 xml:space="preserve">וכלה בעבירות המתה 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[...]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 xml:space="preserve">ואף אם הנשק נרכש למטרות 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>'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הגנה עצמית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',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הזמינות של הנשק מעודדת את השימוש בו לביצוע עבירות שונות ולהחרפת תוצאותיהן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>.</w:t>
      </w:r>
    </w:p>
    <w:p>
      <w:pPr>
        <w:pStyle w:val="Normal"/>
        <w:tabs>
          <w:tab w:val="clear" w:pos="720"/>
          <w:tab w:val="left" w:pos="794" w:leader="none"/>
        </w:tabs>
        <w:spacing w:lineRule="auto" w:line="360"/>
        <w:ind w:start="794" w:end="993"/>
        <w:jc w:val="both"/>
        <w:rPr>
          <w:rFonts w:ascii="Miriam" w:hAnsi="Miriam" w:cs="Miriam"/>
          <w:color w:val="000000"/>
          <w:spacing w:val="10"/>
          <w:sz w:val="22"/>
          <w:szCs w:val="22"/>
        </w:rPr>
      </w:pPr>
      <w:r>
        <w:rPr>
          <w:rFonts w:eastAsia="Miriam" w:cs="Miriam" w:ascii="Miriam" w:hAnsi="Miriam"/>
          <w:color w:val="000000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794" w:leader="none"/>
        </w:tabs>
        <w:spacing w:lineRule="auto" w:line="360"/>
        <w:ind w:start="794" w:end="993"/>
        <w:jc w:val="both"/>
        <w:rPr/>
      </w:pP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על כן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המאבק בתופעות האלימות החמורות בחברה הישראלית בהן נעשה שימוש בנשק מחייב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 xml:space="preserve">מעבר למאמץ 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>'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לשים יד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'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על כלי הנשק הבלתי חוקיים הרבים שבידי הציבור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גם ענישה מחמירה ומרתיעה בעבירות נשק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לרבות על עצם החזקה או רכישה שלא כדין של נשק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shd w:fill="FFFFFF" w:val="clear"/>
          <w:rtl w:val="true"/>
        </w:rPr>
        <w:t xml:space="preserve"> 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[...]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מהלך כזה מחייב הירתמות גם של בתי המשפט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על ידי ענישה מחמירה ומרתיעה לעבירות נשק בלתי חוקי באשר הן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וכל שכן מקום שנעשה בנשק כזה שימוש בביצוע עבירות אלימות לסוגיהן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>".</w:t>
      </w:r>
    </w:p>
    <w:p>
      <w:pPr>
        <w:pStyle w:val="Normal"/>
        <w:tabs>
          <w:tab w:val="clear" w:pos="720"/>
          <w:tab w:val="left" w:pos="794" w:leader="none"/>
        </w:tabs>
        <w:spacing w:lineRule="auto" w:line="360"/>
        <w:ind w:end="993"/>
        <w:jc w:val="both"/>
        <w:rPr>
          <w:rFonts w:ascii="Miriam" w:hAnsi="Miriam" w:cs="Miriam"/>
          <w:color w:val="000000"/>
          <w:spacing w:val="10"/>
          <w:sz w:val="22"/>
          <w:szCs w:val="22"/>
        </w:rPr>
      </w:pP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,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41707-03-22</w:t>
        </w:r>
      </w:hyperlink>
      <w:r>
        <w:rPr>
          <w:rtl w:val="true"/>
        </w:rPr>
        <w:t xml:space="preserve">( </w:t>
      </w:r>
      <w:r>
        <w:rPr>
          <w:b/>
          <w:b/>
          <w:bCs/>
          <w:rtl w:val="true"/>
        </w:rPr>
        <w:t>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 </w:t>
      </w:r>
      <w:r>
        <w:rPr/>
        <w:t>23.6.22</w:t>
      </w:r>
      <w:r>
        <w:rPr>
          <w:rtl w:val="true"/>
        </w:rPr>
        <w:t>):</w:t>
      </w:r>
    </w:p>
    <w:p>
      <w:pPr>
        <w:pStyle w:val="Normal"/>
        <w:spacing w:lineRule="auto" w:line="360" w:before="0" w:after="160"/>
        <w:ind w:start="510" w:end="851"/>
        <w:jc w:val="both"/>
        <w:rPr>
          <w:rFonts w:ascii="Miriam" w:hAnsi="Miriam" w:cs="Miriam"/>
          <w:sz w:val="22"/>
          <w:szCs w:val="22"/>
          <w:lang w:val="en-IL" w:eastAsia="en-IL"/>
        </w:rPr>
      </w:pPr>
      <w:r>
        <w:rPr>
          <w:rFonts w:cs="Miriam" w:ascii="Miriam" w:hAnsi="Miriam"/>
          <w:sz w:val="22"/>
          <w:szCs w:val="22"/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>באופן כללי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העונש שנקבע לנאשם מושפע בין היתר מנתוני העבירה בנסיבותיה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ממידת אשמו של הנאשם ומנתונים ונסיבות הנוגעים לנאשם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ואלה מטבע הדברים משתנים ממקרה למקרה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ואין אפשרות שכל העונשים שיוטלו בכל ההליכים בכל בתי המשפט ישמרו על יחס מתאים אלה לאלה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>נקודת ההתייחסות צריכה להיות לקו המרכזי בענישה ולא לחריגים</w:t>
      </w:r>
      <w:r>
        <w:rPr>
          <w:rFonts w:cs="Miriam" w:ascii="Miriam" w:hAnsi="Miriam"/>
          <w:sz w:val="22"/>
          <w:szCs w:val="22"/>
          <w:rtl w:val="true"/>
        </w:rPr>
        <w:t>".</w:t>
      </w:r>
    </w:p>
    <w:p>
      <w:pPr>
        <w:pStyle w:val="Normal"/>
        <w:spacing w:lineRule="auto" w:line="360" w:before="240" w:after="0"/>
        <w:ind w:start="-57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5613/20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25.8.2020</w:t>
      </w:r>
      <w:r>
        <w:rPr>
          <w:rtl w:val="true"/>
        </w:rPr>
        <w:t xml:space="preserve">]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ויצרני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7552-07-20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אלהוזייל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Cs/>
        </w:rPr>
        <w:t>22.7.2020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: </w:t>
      </w:r>
      <w:r>
        <w:rPr>
          <w:rFonts w:cs="Miriam" w:ascii="Miriam" w:hAnsi="Miriam"/>
          <w:sz w:val="22"/>
          <w:szCs w:val="22"/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>עבירות בנשק הפכו בשנים האחרונות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למרבה הצער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לתופעה נפוצה בקרב אוכלוסיות שונות בחברה הישראלית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המביאה לעתים מזומנות לפגיעה בחפים מפשע ולאובדן חיי אדם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כתוצאה מכך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בית משפט זה שב וקבע כי מתחייבת החמרה ממשית בענישה על עבירות אלו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על מנת לשדר מסר מרתיע מפני ביצוען </w:t>
      </w:r>
      <w:r>
        <w:rPr>
          <w:rFonts w:cs="Miriam" w:ascii="Miriam" w:hAnsi="Miriam"/>
          <w:sz w:val="22"/>
          <w:szCs w:val="22"/>
          <w:rtl w:val="true"/>
        </w:rPr>
        <w:t xml:space="preserve">[...]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לא מצאתי ממש בטענה בדבר סטיית בית משפט השלום מהמלצת שירות המבחן </w:t>
      </w:r>
      <w:r>
        <w:rPr>
          <w:rFonts w:cs="Miriam" w:ascii="Miriam" w:hAnsi="Miriam"/>
          <w:sz w:val="22"/>
          <w:szCs w:val="22"/>
          <w:rtl w:val="true"/>
        </w:rPr>
        <w:t>[...]</w:t>
      </w:r>
      <w:r>
        <w:rPr>
          <w:rFonts w:ascii="Miriam" w:hAnsi="Miriam" w:cs="Miriam"/>
          <w:sz w:val="22"/>
          <w:sz w:val="22"/>
          <w:szCs w:val="22"/>
          <w:rtl w:val="true"/>
        </w:rPr>
        <w:t>ההכרעה הסופית בעניין העונש מסורה לבית המשפט בלבד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אשר עליו לאזן בין כלל שיקולי הענישה </w:t>
      </w:r>
      <w:r>
        <w:rPr>
          <w:rFonts w:cs="Miriam" w:ascii="Miriam" w:hAnsi="Miriam"/>
          <w:sz w:val="22"/>
          <w:szCs w:val="22"/>
          <w:rtl w:val="true"/>
        </w:rPr>
        <w:t xml:space="preserve">[...] </w:t>
      </w:r>
      <w:r>
        <w:rPr>
          <w:rFonts w:ascii="Miriam" w:hAnsi="Miriam" w:cs="Miriam"/>
          <w:sz w:val="22"/>
          <w:sz w:val="22"/>
          <w:szCs w:val="22"/>
          <w:rtl w:val="true"/>
        </w:rPr>
        <w:t>זאת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בפרט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כאשר קיימים בענייננו שיקולים כבדי משקל בדבר הצורך בהרתעת הרבים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...".</w:t>
      </w:r>
      <w:r>
        <w:rPr>
          <w:rFonts w:cs="Arial" w:ascii="Arial" w:hAnsi="Arial"/>
          <w:rtl w:val="true"/>
        </w:rPr>
        <w:t xml:space="preserve">   </w:t>
      </w:r>
    </w:p>
    <w:p>
      <w:pPr>
        <w:pStyle w:val="Normal"/>
        <w:spacing w:lineRule="auto" w:line="360" w:before="0" w:after="0"/>
        <w:ind w:start="-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start="-57" w:end="0"/>
        <w:contextualSpacing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5.11.19</w:t>
      </w:r>
      <w:r>
        <w:rPr>
          <w:rtl w:val="true"/>
        </w:rPr>
        <w:t xml:space="preserve">)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-57" w:end="0"/>
        <w:jc w:val="both"/>
        <w:rPr/>
      </w:pPr>
      <w:r>
        <w:rPr>
          <w:rtl w:val="true"/>
        </w:rPr>
        <w:t>בעפ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/>
        <w:t>1475-12-20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24.2.21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הנקבעים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240" w:after="0"/>
        <w:ind w:start="-57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21260-10-19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מזאריב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24.11.19</w:t>
      </w:r>
      <w:r>
        <w:rPr>
          <w:rtl w:val="true"/>
        </w:rPr>
        <w:t xml:space="preserve">)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tl w:val="true"/>
        </w:rPr>
        <w:t xml:space="preserve">: </w:t>
      </w:r>
      <w:r>
        <w:rPr>
          <w:rFonts w:cs="Miriam" w:ascii="Miriam" w:hAnsi="Miriam"/>
          <w:rtl w:val="true"/>
        </w:rPr>
        <w:t>"...</w:t>
      </w:r>
      <w:r>
        <w:rPr>
          <w:rFonts w:ascii="Miriam" w:hAnsi="Miriam" w:cs="Miriam"/>
          <w:sz w:val="22"/>
          <w:sz w:val="22"/>
          <w:szCs w:val="22"/>
          <w:rtl w:val="true"/>
        </w:rPr>
        <w:t>תופעת השימוש בנשק חם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גובה קורבנות כמעט מידי יום ביומו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לא זו בלבד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שלמרות המאמצים הרבים שמשקיעים גורמי אכיפת החוק והעונשים שהוטלו עד כה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לא מוגרה התופעה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אלא שאנו חווים הסלמה בהיקף החזקתם של כלי נשק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וכפועל יוצא מכך גם שימוש בנשק זה</w:t>
      </w:r>
      <w:r>
        <w:rPr>
          <w:rFonts w:cs="Miriam" w:ascii="Miriam" w:hAnsi="Miriam"/>
          <w:sz w:val="22"/>
          <w:szCs w:val="22"/>
          <w:rtl w:val="true"/>
        </w:rPr>
        <w:t xml:space="preserve">. 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האלימות החמורה הגוברת ברחבי הארץ </w:t>
      </w:r>
      <w:r>
        <w:rPr>
          <w:rFonts w:cs="Miriam" w:ascii="Miriam" w:hAnsi="Miriam"/>
          <w:sz w:val="22"/>
          <w:szCs w:val="22"/>
          <w:rtl w:val="true"/>
        </w:rPr>
        <w:t xml:space="preserve">[...] </w:t>
      </w:r>
      <w:r>
        <w:rPr>
          <w:rFonts w:ascii="Miriam" w:hAnsi="Miriam" w:cs="Miriam"/>
          <w:sz w:val="22"/>
          <w:sz w:val="22"/>
          <w:szCs w:val="22"/>
          <w:rtl w:val="true"/>
        </w:rPr>
        <w:t>מחייבת העברת מסר תקיף וברור מצד בתי המשפט שלפיו כל מי שמעורב בהחזקה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נשיאה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וכל שכן שימוש בנשק חם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צפוי לעונשים כבדים מאחורי סורג ובריח </w:t>
      </w:r>
      <w:r>
        <w:rPr>
          <w:rFonts w:cs="Miriam" w:ascii="Miriam" w:hAnsi="Miriam"/>
          <w:sz w:val="22"/>
          <w:szCs w:val="22"/>
          <w:rtl w:val="true"/>
        </w:rPr>
        <w:t xml:space="preserve">[...] 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אנו סבורים כי נכון היה לנקוט בקו המתחייב בשעה זו של העלאת רף הענישה </w:t>
      </w:r>
      <w:r>
        <w:rPr>
          <w:rFonts w:cs="Miriam" w:ascii="Miriam" w:hAnsi="Miriam"/>
          <w:sz w:val="22"/>
          <w:szCs w:val="22"/>
          <w:rtl w:val="true"/>
        </w:rPr>
        <w:t xml:space="preserve">[...]  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>החמרה זו צריכה לבוא לידי ביטוי בהחמרת מתחמי הענישה תוך מתן דגש לשיקולים הנוגעים לערכים החברתיים הנפגעים ו מידת הפגיעה בהם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Fonts w:cs="Miriam" w:ascii="Miriam" w:hAnsi="Miriam"/>
          <w:sz w:val="22"/>
          <w:szCs w:val="22"/>
          <w:rtl w:val="true"/>
        </w:rPr>
        <w:t xml:space="preserve">[...]  </w:t>
      </w:r>
      <w:r>
        <w:rPr>
          <w:rFonts w:ascii="Miriam" w:hAnsi="Miriam" w:cs="Miriam"/>
          <w:sz w:val="22"/>
          <w:sz w:val="22"/>
          <w:szCs w:val="22"/>
          <w:rtl w:val="true"/>
        </w:rPr>
        <w:t>כמו כן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לצורך במיגור תופעת האלימות הגואה שמאפייניה שימוש בנשק חם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יש ליתן משקל לשיקולי ההרתעה בקביעת העונש בתוך המתחם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b/>
          <w:bCs/>
          <w:rtl w:val="true"/>
        </w:rPr>
        <w:t xml:space="preserve">) </w:t>
      </w:r>
    </w:p>
    <w:p>
      <w:pPr>
        <w:pStyle w:val="Normal"/>
        <w:spacing w:lineRule="auto" w:line="360" w:before="240" w:after="0"/>
        <w:ind w:start="-57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19687-06-18</w:t>
        </w:r>
      </w:hyperlink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14.11.18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  <w:r>
        <w:rPr>
          <w:rtl w:val="true"/>
        </w:rPr>
        <w:t>בדחותו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: </w:t>
      </w:r>
      <w:r>
        <w:rPr>
          <w:rFonts w:cs="Miriam" w:ascii="Miriam" w:hAnsi="Miriam"/>
          <w:sz w:val="22"/>
          <w:szCs w:val="22"/>
          <w:rtl w:val="true"/>
        </w:rPr>
        <w:t>"...</w:t>
      </w:r>
      <w:r>
        <w:rPr>
          <w:rFonts w:ascii="Miriam" w:hAnsi="Miriam" w:cs="Miriam"/>
          <w:sz w:val="22"/>
          <w:sz w:val="22"/>
          <w:szCs w:val="22"/>
          <w:rtl w:val="true"/>
        </w:rPr>
        <w:t>נוכח הממדים המדאיגים של תופעת החזקת הנשק הבלתי חוקית ולאור הסכנות הנשקפות מתופעה זו והקלות היחסית הרבה שניתן לבצע עבירות אלה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יש מקום להחמיר בענישה שניתנה עד כה בגין עבירות אלה </w:t>
      </w:r>
      <w:r>
        <w:rPr>
          <w:rFonts w:cs="Miriam" w:ascii="Miriam" w:hAnsi="Miriam"/>
          <w:sz w:val="22"/>
          <w:szCs w:val="22"/>
          <w:rtl w:val="true"/>
        </w:rPr>
        <w:t xml:space="preserve">[...] </w:t>
      </w:r>
      <w:r>
        <w:rPr>
          <w:rFonts w:ascii="Miriam" w:hAnsi="Miriam" w:cs="Miriam"/>
          <w:sz w:val="22"/>
          <w:sz w:val="22"/>
          <w:szCs w:val="22"/>
          <w:rtl w:val="true"/>
        </w:rPr>
        <w:t>הצורך בהחמרה בענישה בעבירות אלה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נכון גם במקרה שבפנינו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חרף נסיבותיו האישיות של המערער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כפי שאלו קיבלו ביטוי בתסקירים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חרף גילו הצעיר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חרף העדר הרשעות קודמות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ואף חרף המלצת שירות המבחן</w:t>
      </w:r>
      <w:r>
        <w:rPr>
          <w:rFonts w:cs="Miriam" w:ascii="Miriam" w:hAnsi="Miriam"/>
          <w:sz w:val="22"/>
          <w:szCs w:val="22"/>
          <w:rtl w:val="true"/>
        </w:rPr>
        <w:t>...".</w:t>
      </w:r>
    </w:p>
    <w:p>
      <w:pPr>
        <w:pStyle w:val="Normal"/>
        <w:spacing w:lineRule="auto" w:line="360" w:before="240" w:after="0"/>
        <w:ind w:start="-57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13471-01-22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סייד</w:t>
      </w:r>
      <w:r>
        <w:rPr>
          <w:rtl w:val="true"/>
        </w:rPr>
        <w:t>, (</w:t>
      </w:r>
      <w:r>
        <w:rPr/>
        <w:t>29.09.22</w:t>
      </w:r>
      <w:r>
        <w:rPr>
          <w:rtl w:val="true"/>
        </w:rPr>
        <w:t xml:space="preserve">) (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18.5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מהעמקת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-57" w:end="0"/>
        <w:jc w:val="both"/>
        <w:rPr>
          <w:highlight w:val="yellow"/>
        </w:rPr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54807-01-21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3.7.</w:t>
      </w:r>
      <w:r>
        <w:rPr/>
        <w:t>2021</w:t>
      </w:r>
      <w:r>
        <w:rPr>
          <w:rtl w:val="true"/>
        </w:rPr>
        <w:t>) (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/>
        <w:t>213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–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,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40" w:after="0"/>
        <w:ind w:start="-57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64331-05-19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מועתז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14.04.22</w:t>
      </w:r>
      <w:r>
        <w:rPr>
          <w:rtl w:val="true"/>
        </w:rPr>
        <w:t xml:space="preserve">),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ל–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ויצרני</w:t>
      </w:r>
      <w:r>
        <w:rPr>
          <w:rtl w:val="true"/>
        </w:rPr>
        <w:t xml:space="preserve">, </w:t>
      </w:r>
      <w:r>
        <w:rPr>
          <w:rtl w:val="true"/>
        </w:rPr>
        <w:t>ובעניינו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-57" w:end="0"/>
        <w:contextualSpacing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41707-03-22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מכבידה</w:t>
      </w:r>
      <w:r>
        <w:rPr>
          <w:rtl w:val="true"/>
        </w:rPr>
        <w:t xml:space="preserve">:  </w:t>
      </w:r>
    </w:p>
    <w:p>
      <w:pPr>
        <w:pStyle w:val="Normal"/>
        <w:spacing w:lineRule="auto" w:line="360" w:before="0" w:after="160"/>
        <w:ind w:start="510" w:end="709"/>
        <w:jc w:val="both"/>
        <w:rPr>
          <w:rFonts w:ascii="Miriam" w:hAnsi="Miriam" w:cs="Miriam"/>
        </w:rPr>
      </w:pPr>
      <w:r>
        <w:rPr>
          <w:rFonts w:cs="Miriam" w:ascii="Miriam" w:hAnsi="Miriam"/>
          <w:sz w:val="22"/>
          <w:szCs w:val="22"/>
          <w:rtl w:val="true"/>
        </w:rPr>
        <w:t xml:space="preserve">"[...] </w:t>
      </w:r>
      <w:r>
        <w:rPr>
          <w:rFonts w:ascii="Miriam" w:hAnsi="Miriam" w:cs="Miriam"/>
          <w:sz w:val="22"/>
          <w:sz w:val="22"/>
          <w:szCs w:val="22"/>
          <w:rtl w:val="true"/>
        </w:rPr>
        <w:t>היקף כלי הנשק הבלתי חוקיים שבידי הציבור רב ועצום והוא מקור לדאגה עמוקה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באזורנו התופעה של החזקת נשק בלתי חוקי בולטת במיוחד במגזר הבדואי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יש לכך סיבות שונות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בין היתר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הצורך האובייקטיבי של חלק מאוכלוסייה זו להחזיק נשק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על רקע סביבת מגורים מדברית המרוחקת ממקום ישוב</w:t>
      </w:r>
      <w:r>
        <w:rPr>
          <w:rFonts w:cs="Miriam" w:ascii="Miriam" w:hAnsi="Miriam"/>
          <w:sz w:val="22"/>
          <w:szCs w:val="22"/>
          <w:rtl w:val="true"/>
        </w:rPr>
        <w:t xml:space="preserve">; </w:t>
      </w:r>
      <w:r>
        <w:rPr>
          <w:rFonts w:ascii="Miriam" w:hAnsi="Miriam" w:cs="Miriam"/>
          <w:sz w:val="22"/>
          <w:sz w:val="22"/>
          <w:szCs w:val="22"/>
          <w:rtl w:val="true"/>
        </w:rPr>
        <w:t>הקושי של חלק ניכר מהמגזר הבדואי לעמוד בתנאים לקבלת רישיון החזקת נשק</w:t>
      </w:r>
      <w:r>
        <w:rPr>
          <w:rFonts w:cs="Miriam" w:ascii="Miriam" w:hAnsi="Miriam"/>
          <w:sz w:val="22"/>
          <w:szCs w:val="22"/>
          <w:rtl w:val="true"/>
        </w:rPr>
        <w:t xml:space="preserve">; </w:t>
      </w:r>
      <w:r>
        <w:rPr>
          <w:rFonts w:ascii="Miriam" w:hAnsi="Miriam" w:cs="Miriam"/>
          <w:sz w:val="22"/>
          <w:sz w:val="22"/>
          <w:szCs w:val="22"/>
          <w:rtl w:val="true"/>
        </w:rPr>
        <w:t>ריבוי סכסוכים אלימים</w:t>
      </w:r>
      <w:r>
        <w:rPr>
          <w:rFonts w:cs="Miriam" w:ascii="Miriam" w:hAnsi="Miriam"/>
          <w:sz w:val="22"/>
          <w:szCs w:val="22"/>
          <w:rtl w:val="true"/>
        </w:rPr>
        <w:t xml:space="preserve">; </w:t>
      </w:r>
      <w:r>
        <w:rPr>
          <w:rFonts w:ascii="Miriam" w:hAnsi="Miriam" w:cs="Miriam"/>
          <w:sz w:val="22"/>
          <w:sz w:val="22"/>
          <w:szCs w:val="22"/>
          <w:rtl w:val="true"/>
        </w:rPr>
        <w:t>ומעורבות גבוהה יחסית בפשיעה</w:t>
      </w:r>
      <w:r>
        <w:rPr>
          <w:rFonts w:cs="Miriam" w:ascii="Miriam" w:hAnsi="Miriam"/>
          <w:sz w:val="22"/>
          <w:szCs w:val="22"/>
          <w:rtl w:val="true"/>
        </w:rPr>
        <w:t>.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הימצאותם של כלי נשק רבים בידי אזרחים שאינם מורשים להחזיקם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כשלעצמה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מהווה בעיה רצינית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שכן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זמינותו של נשק כזה עלולה להביא לכך שבמצבים שונים ייעשה בו שימוש פוגעני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נוכח הסכנות הכרוכות בהחזקת נשק שלא כדין והיקף התופעה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>מדיניות הענישה בעבירות הנשק</w:t>
      </w:r>
      <w:r>
        <w:rPr>
          <w:rFonts w:cs="Miriam" w:ascii="Miriam" w:hAnsi="Miriam"/>
          <w:b/>
          <w:bCs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>במיוחד בשנים האחרונות</w:t>
      </w:r>
      <w:r>
        <w:rPr>
          <w:rFonts w:cs="Miriam" w:ascii="Miriam" w:hAnsi="Miriam"/>
          <w:b/>
          <w:bCs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>הינה של החמרה מובהקת</w:t>
      </w:r>
      <w:r>
        <w:rPr>
          <w:rFonts w:cs="Miriam" w:ascii="Miriam" w:hAnsi="Miriam"/>
          <w:b/>
          <w:bCs/>
          <w:rtl w:val="true"/>
        </w:rPr>
        <w:t xml:space="preserve">. </w:t>
      </w:r>
      <w:r>
        <w:rPr>
          <w:rFonts w:ascii="Miriam" w:hAnsi="Miriam" w:cs="Miriam"/>
          <w:b/>
          <w:b/>
          <w:bCs/>
          <w:rtl w:val="true"/>
        </w:rPr>
        <w:t>והערכאות הדיוניות נדרשות לממש מדיניות זו בהטלת עונשים משמעותיים שיהלמו את חומרת המעשה ואת הסכנות הנובעות ממנו</w:t>
      </w:r>
      <w:r>
        <w:rPr>
          <w:rFonts w:cs="Miriam" w:ascii="Miriam" w:hAnsi="Miriam"/>
          <w:b/>
          <w:bCs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>ויהיה בהם כדי להרתיע</w:t>
      </w:r>
      <w:r>
        <w:rPr>
          <w:rFonts w:cs="Miriam" w:ascii="Miriam" w:hAnsi="Miriam"/>
          <w:rtl w:val="true"/>
        </w:rPr>
        <w:t xml:space="preserve">". </w:t>
      </w:r>
    </w:p>
    <w:p>
      <w:pPr>
        <w:pStyle w:val="Normal"/>
        <w:spacing w:lineRule="auto" w:line="360" w:before="0" w:after="160"/>
        <w:ind w:start="-57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טארש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: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העונשים המוטלים על החזקת אקדח שלא כדין נעים 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rtl w:val="true"/>
        </w:rPr>
        <w:t>והפנה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2141-21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איתן חניני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27/05/21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שם דובר במערער שנשא בשעת לילה אקדח אוויר אשר בוצעו בו שינויים המאפשרים ירי של תחמושת בקליבר </w:t>
      </w:r>
      <w:r>
        <w:rPr>
          <w:rFonts w:cs="David" w:ascii="David" w:hAnsi="David"/>
        </w:rPr>
        <w:t>7.65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ובו ארבעה כדורים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ועונשו נגזר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ערעורו על חומרת העונש נדחה</w:t>
      </w:r>
      <w:r>
        <w:rPr>
          <w:rFonts w:cs="David" w:ascii="David" w:hAnsi="David"/>
          <w:rtl w:val="true"/>
        </w:rPr>
        <w:t xml:space="preserve">) ;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2892/13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מוחמד עודתאללה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29/09/13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שם נדחה ערעורו של מי שהוא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שנתפס נוהג ברכב בו היו אקדח ובו מחסנית </w:t>
      </w:r>
      <w:r>
        <w:rPr>
          <w:rFonts w:ascii="David" w:hAnsi="David"/>
          <w:b/>
          <w:b/>
          <w:bCs/>
          <w:u w:val="single"/>
          <w:rtl w:val="true"/>
        </w:rPr>
        <w:t>ריקה</w:t>
      </w:r>
      <w:r>
        <w:rPr>
          <w:rFonts w:ascii="David" w:hAnsi="David"/>
          <w:b/>
          <w:b/>
          <w:bCs/>
          <w:rtl w:val="true"/>
        </w:rPr>
        <w:t xml:space="preserve"> מכדורים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ועונשו </w:t>
      </w:r>
      <w:r>
        <w:rPr>
          <w:rFonts w:ascii="David" w:hAnsi="David"/>
          <w:b/>
          <w:b/>
          <w:bCs/>
          <w:rtl w:val="true"/>
        </w:rPr>
        <w:t xml:space="preserve">נגזר ל </w:t>
      </w: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-57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-57" w:end="0"/>
        <w:contextualSpacing/>
        <w:jc w:val="both"/>
        <w:rPr>
          <w:rFonts w:ascii="Arial" w:hAnsi="Arial" w:cs="Arial"/>
        </w:rPr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בעניינו של הנאשם חלה </w:t>
      </w:r>
      <w:r>
        <w:rPr>
          <w:rFonts w:ascii="David" w:hAnsi="David"/>
          <w:rtl w:val="true"/>
        </w:rPr>
        <w:t xml:space="preserve">הוראת השעה שבתיקון מספר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ב –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שעל הסיבות לחקיקתה ועל יעדיה עמדתי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-57" w:end="0"/>
        <w:jc w:val="both"/>
        <w:rPr>
          <w:rFonts w:ascii="Arial" w:hAnsi="Arial" w:cs="Arial"/>
          <w:b/>
          <w:bCs/>
          <w:lang w:eastAsia="he-IL"/>
        </w:rPr>
      </w:pPr>
      <w:r>
        <w:rPr>
          <w:rFonts w:cs="Arial" w:ascii="Arial" w:hAnsi="Arial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-57" w:end="0"/>
        <w:jc w:val="both"/>
        <w:rPr>
          <w:b/>
          <w:bCs/>
        </w:rPr>
      </w:pPr>
      <w:r>
        <w:rPr>
          <w:b/>
          <w:b/>
          <w:bCs/>
          <w:rtl w:val="true"/>
          <w:lang w:eastAsia="he-IL"/>
        </w:rPr>
        <w:t>סיכום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מכלול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הדברים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האמורים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בהתחשב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במעשה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העבירה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ביצועה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במידת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אשמו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מידת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פגיעתו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בערכים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החברתיים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ובעיקר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במגמת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ההחמרה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המתחייבת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להרתעה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ולאחר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שנתתי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דעתי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להדרגתיות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המתבקשת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בהחמרה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b/>
          <w:b/>
          <w:bCs/>
          <w:rtl w:val="true"/>
          <w:lang w:eastAsia="he-IL"/>
        </w:rPr>
        <w:t>היה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מקום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לקביעת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מתחם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הולם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שהיה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קרוב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יותר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העליון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במתחם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עתרה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התביעה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עם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זאת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בהביאי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בחשבון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טיעוני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ההגנה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עליהם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חולק</w:t>
      </w:r>
      <w:r>
        <w:rPr>
          <w:b/>
          <w:bCs/>
          <w:rtl w:val="true"/>
          <w:lang w:eastAsia="he-IL"/>
        </w:rPr>
        <w:t xml:space="preserve">) </w:t>
      </w:r>
      <w:r>
        <w:rPr>
          <w:b/>
          <w:b/>
          <w:bCs/>
          <w:rtl w:val="true"/>
          <w:lang w:eastAsia="he-IL"/>
        </w:rPr>
        <w:t>לפגם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בדמות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הגשת</w:t>
      </w:r>
      <w:r>
        <w:rPr>
          <w:rFonts w:cs="Times New Roman"/>
          <w:b/>
          <w:b/>
          <w:bCs/>
          <w:rtl w:val="true"/>
          <w:lang w:eastAsia="he-IL"/>
        </w:rPr>
        <w:t xml:space="preserve">  </w:t>
      </w:r>
      <w:r>
        <w:rPr>
          <w:b/>
          <w:b/>
          <w:bCs/>
          <w:rtl w:val="true"/>
          <w:lang w:eastAsia="he-IL"/>
        </w:rPr>
        <w:t>כתב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האישום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בחוסר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סמכות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כתוצאה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מכך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נתון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 </w:t>
      </w:r>
      <w:r>
        <w:rPr>
          <w:b/>
          <w:b/>
          <w:bCs/>
          <w:rtl w:val="true"/>
          <w:lang w:eastAsia="he-IL"/>
        </w:rPr>
        <w:t>במעצר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8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ימים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 </w:t>
      </w:r>
      <w:r>
        <w:rPr>
          <w:b/>
          <w:b/>
          <w:bCs/>
          <w:rtl w:val="true"/>
          <w:lang w:eastAsia="he-IL"/>
        </w:rPr>
        <w:t>אעמיד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מתחם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ההולם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שינוע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בין</w:t>
      </w:r>
      <w:r>
        <w:rPr>
          <w:rFonts w:cs="Times New Roman"/>
          <w:b/>
          <w:b/>
          <w:bCs/>
          <w:rtl w:val="true"/>
          <w:lang w:eastAsia="he-IL"/>
        </w:rPr>
        <w:t xml:space="preserve">  </w:t>
      </w:r>
      <w:r>
        <w:rPr>
          <w:b/>
          <w:bCs/>
          <w:lang w:eastAsia="he-IL"/>
        </w:rPr>
        <w:t>14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</w:t>
      </w:r>
      <w:r>
        <w:rPr>
          <w:b/>
          <w:bCs/>
          <w:rtl w:val="true"/>
          <w:lang w:eastAsia="he-IL"/>
        </w:rPr>
        <w:t xml:space="preserve">- </w:t>
      </w:r>
      <w:r>
        <w:rPr>
          <w:b/>
          <w:bCs/>
          <w:lang w:eastAsia="he-IL"/>
        </w:rPr>
        <w:t>36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252" w:before="0" w:after="160"/>
        <w:ind w:start="-57" w:end="0"/>
        <w:contextualSpacing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240" w:after="0"/>
        <w:ind w:end="0"/>
        <w:jc w:val="both"/>
        <w:rPr>
          <w:b/>
          <w:bCs/>
          <w:sz w:val="2"/>
          <w:szCs w:val="2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עונשו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</w:p>
    <w:p>
      <w:pPr>
        <w:pStyle w:val="Normal"/>
        <w:spacing w:lineRule="auto" w:line="360" w:before="0" w:after="160"/>
        <w:ind w:start="-57" w:end="0"/>
        <w:contextualSpacing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ולנסיבותיו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</w:rPr>
          <w:t>72031-02-19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31.12.19</w:t>
      </w:r>
      <w:r>
        <w:rPr>
          <w:rtl w:val="true"/>
        </w:rPr>
        <w:t>] :</w:t>
      </w:r>
    </w:p>
    <w:p>
      <w:pPr>
        <w:pStyle w:val="Normal"/>
        <w:spacing w:lineRule="auto" w:line="360" w:before="0" w:after="160"/>
        <w:ind w:start="-57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510" w:end="993"/>
        <w:contextualSpacing/>
        <w:jc w:val="both"/>
        <w:rPr>
          <w:rFonts w:ascii="Miriam" w:hAnsi="Miriam" w:cs="Miriam"/>
          <w:sz w:val="22"/>
          <w:szCs w:val="22"/>
        </w:rPr>
      </w:pPr>
      <w:r>
        <w:rPr>
          <w:rFonts w:eastAsia="Miriam" w:cs="Miriam" w:ascii="Miriam" w:hAnsi="Miriam"/>
          <w:sz w:val="22"/>
          <w:szCs w:val="22"/>
          <w:rtl w:val="true"/>
        </w:rPr>
        <w:t xml:space="preserve"> </w:t>
      </w:r>
      <w:r>
        <w:rPr>
          <w:rFonts w:cs="Miriam" w:ascii="Miriam" w:hAnsi="Miriam"/>
          <w:sz w:val="22"/>
          <w:szCs w:val="22"/>
          <w:rtl w:val="true"/>
        </w:rPr>
        <w:t>"...</w:t>
      </w:r>
      <w:r>
        <w:rPr>
          <w:rFonts w:ascii="Miriam" w:hAnsi="Miriam" w:cs="Miriam"/>
          <w:sz w:val="22"/>
          <w:sz w:val="22"/>
          <w:szCs w:val="22"/>
          <w:rtl w:val="true"/>
        </w:rPr>
        <w:t>אשר להרתעה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חדשות לבקרים מובאים לפתחו של בית המשפט זה אירועים פלילים במהלכם נעשה שימוש בנשק לא חוקי לפתרון סכסוכים בדרך של אלימות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לא אחת הנשק משמש הן לתקיפה והן להגנה עצמית ומוסלק לעת מצוא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מחוז הדרום סובל אף יותר מאשר מחוזות אחרים מהתופעה של החזקת נשק שלא כדין ויש לראות זאת גם כ</w:t>
      </w:r>
      <w:r>
        <w:rPr>
          <w:rFonts w:cs="Miriam" w:ascii="Miriam" w:hAnsi="Miriam"/>
          <w:sz w:val="22"/>
          <w:szCs w:val="22"/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>מכת אזור</w:t>
      </w:r>
      <w:r>
        <w:rPr>
          <w:rFonts w:cs="Miriam" w:ascii="Miriam" w:hAnsi="Miriam"/>
          <w:sz w:val="22"/>
          <w:szCs w:val="22"/>
          <w:rtl w:val="true"/>
        </w:rPr>
        <w:t xml:space="preserve">" [...]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בין עבירות הנשק לבין עבירות אלימות קשות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ascii="Miriam" w:hAnsi="Miriam" w:cs="Miriam"/>
          <w:sz w:val="22"/>
          <w:sz w:val="22"/>
          <w:szCs w:val="22"/>
          <w:rtl w:val="true"/>
        </w:rPr>
        <w:t>לרבות עבירות המתה</w:t>
      </w:r>
      <w:r>
        <w:rPr>
          <w:rFonts w:cs="Miriam" w:ascii="Miriam" w:hAnsi="Miriam"/>
          <w:sz w:val="22"/>
          <w:szCs w:val="22"/>
          <w:rtl w:val="true"/>
        </w:rPr>
        <w:t xml:space="preserve">)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ישנו </w:t>
      </w:r>
      <w:r>
        <w:rPr>
          <w:rFonts w:cs="Miriam" w:ascii="Miriam" w:hAnsi="Miriam"/>
          <w:sz w:val="22"/>
          <w:szCs w:val="22"/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>קו רצוף ועקוב מדם</w:t>
      </w:r>
      <w:r>
        <w:rPr>
          <w:rFonts w:cs="Miriam" w:ascii="Miriam" w:hAnsi="Miriam"/>
          <w:sz w:val="22"/>
          <w:szCs w:val="22"/>
          <w:rtl w:val="true"/>
        </w:rPr>
        <w:t xml:space="preserve">".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העובדה המצערת שמתחילת שנת </w:t>
      </w:r>
      <w:r>
        <w:rPr>
          <w:rFonts w:cs="Miriam" w:ascii="Miriam" w:hAnsi="Miriam"/>
          <w:sz w:val="22"/>
          <w:szCs w:val="22"/>
        </w:rPr>
        <w:t>2019</w:t>
      </w:r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ועד למועד מתן גזר הדין נרצחו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ascii="Miriam" w:hAnsi="Miriam" w:cs="Miriam"/>
          <w:sz w:val="22"/>
          <w:sz w:val="22"/>
          <w:szCs w:val="22"/>
          <w:rtl w:val="true"/>
        </w:rPr>
        <w:t>רק במגזר הערבי</w:t>
      </w:r>
      <w:r>
        <w:rPr>
          <w:rFonts w:cs="Miriam" w:ascii="Miriam" w:hAnsi="Miriam"/>
          <w:sz w:val="22"/>
          <w:szCs w:val="22"/>
          <w:rtl w:val="true"/>
        </w:rPr>
        <w:t xml:space="preserve">)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מעל </w:t>
      </w:r>
      <w:r>
        <w:rPr>
          <w:rFonts w:cs="Miriam" w:ascii="Miriam" w:hAnsi="Miriam"/>
          <w:sz w:val="22"/>
          <w:szCs w:val="22"/>
        </w:rPr>
        <w:t>90</w:t>
      </w:r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2"/>
          <w:rtl w:val="true"/>
        </w:rPr>
        <w:t>בני</w:t>
      </w:r>
      <w:r>
        <w:rPr>
          <w:rFonts w:cs="Miriam" w:ascii="Miriam" w:hAnsi="Miriam"/>
          <w:sz w:val="22"/>
          <w:szCs w:val="22"/>
          <w:rtl w:val="true"/>
        </w:rPr>
        <w:t>-</w:t>
      </w:r>
      <w:r>
        <w:rPr>
          <w:rFonts w:ascii="Miriam" w:hAnsi="Miriam" w:cs="Miriam"/>
          <w:sz w:val="22"/>
          <w:sz w:val="22"/>
          <w:szCs w:val="22"/>
          <w:rtl w:val="true"/>
        </w:rPr>
        <w:t>אדם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ברוב רובם של המקרים תוך שימוש בנשק חם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מדברת בעד עצמה</w:t>
      </w:r>
      <w:r>
        <w:rPr>
          <w:rFonts w:cs="Miriam" w:ascii="Miriam" w:hAnsi="Miriam"/>
          <w:sz w:val="22"/>
          <w:szCs w:val="22"/>
          <w:rtl w:val="true"/>
        </w:rPr>
        <w:t xml:space="preserve">...".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Miriam" w:hAnsi="Miriam" w:cs="Miriam"/>
          <w:sz w:val="22"/>
          <w:szCs w:val="22"/>
          <w:highlight w:val="green"/>
        </w:rPr>
      </w:pPr>
      <w:r>
        <w:rPr>
          <w:rFonts w:cs="Miriam" w:ascii="Miriam" w:hAnsi="Miriam"/>
          <w:sz w:val="22"/>
          <w:szCs w:val="22"/>
          <w:highlight w:val="green"/>
          <w:rtl w:val="true"/>
        </w:rPr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  </w:t>
      </w:r>
    </w:p>
    <w:p>
      <w:pPr>
        <w:pStyle w:val="Normal"/>
        <w:spacing w:lineRule="auto" w:line="252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firstLine="142" w:start="141" w:end="0"/>
        <w:contextualSpacing/>
        <w:jc w:val="both"/>
        <w:rPr>
          <w:rFonts w:ascii="David" w:hAnsi="David" w:cs="David"/>
          <w:lang w:val="en-IL" w:eastAsia="en-IL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בהחל מיום מעצרו על פי רישומי 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425" w:start="708" w:end="0"/>
        <w:contextualSpacing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חודשי 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 יעבור עבירת נשק  מסוג 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425" w:start="708" w:end="0"/>
        <w:contextualSpacing/>
        <w:jc w:val="both"/>
        <w:rPr/>
      </w:pP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לה</w:t>
      </w:r>
      <w:r>
        <w:rPr>
          <w:rtl w:val="true"/>
        </w:rPr>
        <w:t>י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 </w:t>
      </w:r>
    </w:p>
    <w:p>
      <w:pPr>
        <w:pStyle w:val="Normal"/>
        <w:spacing w:lineRule="auto" w:line="252" w:before="0" w:after="160"/>
        <w:ind w:start="-57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252" w:before="0" w:after="160"/>
        <w:ind w:start="-57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 xml:space="preserve">האקדח והמחסנית שנתפסו – יחולטו </w:t>
      </w:r>
      <w:r>
        <w:rPr>
          <w:rFonts w:cs="Calibri" w:ascii="Calibri" w:hAnsi="Calibri"/>
          <w:b/>
          <w:bCs/>
          <w:rtl w:val="true"/>
        </w:rPr>
        <w:t xml:space="preserve">/ </w:t>
      </w:r>
      <w:r>
        <w:rPr>
          <w:rFonts w:ascii="Calibri" w:hAnsi="Calibri" w:cs="Calibri"/>
          <w:b/>
          <w:b/>
          <w:bCs/>
          <w:rtl w:val="true"/>
        </w:rPr>
        <w:t>יושמדו לשיקול דעת היחידה החוקרת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252" w:before="0" w:after="160"/>
        <w:ind w:start="-57" w:end="0"/>
        <w:contextualSpacing/>
        <w:jc w:val="both"/>
        <w:rPr>
          <w:rFonts w:ascii="Calibri" w:hAnsi="Calibri" w:cs="Calibri"/>
          <w:color w:val="FFFFFF"/>
          <w:sz w:val="2"/>
          <w:szCs w:val="2"/>
        </w:rPr>
      </w:pPr>
      <w:r>
        <w:rPr>
          <w:rFonts w:cs="Calibri" w:ascii="Calibri" w:hAnsi="Calibri"/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שוש שטרית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18327-09-22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תביעות נגב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יותם יהודה מרציאנו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36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5824863" TargetMode="External"/><Relationship Id="rId8" Type="http://schemas.openxmlformats.org/officeDocument/2006/relationships/hyperlink" Target="http://www.nevo.co.il/case/25520167" TargetMode="External"/><Relationship Id="rId9" Type="http://schemas.openxmlformats.org/officeDocument/2006/relationships/hyperlink" Target="http://www.nevo.co.il/case/2760387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8513828" TargetMode="External"/><Relationship Id="rId13" Type="http://schemas.openxmlformats.org/officeDocument/2006/relationships/hyperlink" Target="http://www.nevo.co.il/case/25824863" TargetMode="External"/><Relationship Id="rId14" Type="http://schemas.openxmlformats.org/officeDocument/2006/relationships/hyperlink" Target="http://www.nevo.co.il/case/28413605" TargetMode="External"/><Relationship Id="rId15" Type="http://schemas.openxmlformats.org/officeDocument/2006/relationships/hyperlink" Target="http://www.nevo.co.il/case/26913995" TargetMode="External"/><Relationship Id="rId16" Type="http://schemas.openxmlformats.org/officeDocument/2006/relationships/hyperlink" Target="http://www.nevo.co.il/case/26816262" TargetMode="External"/><Relationship Id="rId17" Type="http://schemas.openxmlformats.org/officeDocument/2006/relationships/hyperlink" Target="http://www.nevo.co.il/case/25824863" TargetMode="External"/><Relationship Id="rId18" Type="http://schemas.openxmlformats.org/officeDocument/2006/relationships/hyperlink" Target="http://www.nevo.co.il/case/26103748" TargetMode="External"/><Relationship Id="rId19" Type="http://schemas.openxmlformats.org/officeDocument/2006/relationships/hyperlink" Target="http://www.nevo.co.il/case/24288345" TargetMode="External"/><Relationship Id="rId20" Type="http://schemas.openxmlformats.org/officeDocument/2006/relationships/hyperlink" Target="http://www.nevo.co.il/case/28228343" TargetMode="External"/><Relationship Id="rId21" Type="http://schemas.openxmlformats.org/officeDocument/2006/relationships/hyperlink" Target="http://www.nevo.co.il/case/27359147" TargetMode="External"/><Relationship Id="rId22" Type="http://schemas.openxmlformats.org/officeDocument/2006/relationships/hyperlink" Target="http://www.nevo.co.il/case/25732840" TargetMode="External"/><Relationship Id="rId23" Type="http://schemas.openxmlformats.org/officeDocument/2006/relationships/hyperlink" Target="http://www.nevo.co.il/case/28413605" TargetMode="External"/><Relationship Id="rId24" Type="http://schemas.openxmlformats.org/officeDocument/2006/relationships/hyperlink" Target="http://www.nevo.co.il/case/27502726" TargetMode="External"/><Relationship Id="rId25" Type="http://schemas.openxmlformats.org/officeDocument/2006/relationships/hyperlink" Target="http://www.nevo.co.il/case/6949290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5496225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2023-11-12T10:05:00Z</dcterms:created>
  <dc:creator> </dc:creator>
  <dc:description/>
  <cp:keywords/>
  <dc:language>en-IL</dc:language>
  <cp:lastModifiedBy>h1</cp:lastModifiedBy>
  <dcterms:modified xsi:type="dcterms:W3CDTF">2023-11-12T10:05:00Z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תביעות נגב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יותם יהודה מרציאנו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25824863:3;25520167;27603872;28513828;28413605:2;26913995;26816262;26103748;24288345;28228343;27359147;25732840;27502726;6949290;25496225</vt:lpwstr>
  </property>
  <property fmtid="{D5CDD505-2E9C-101B-9397-08002B2CF9AE}" pid="9" name="CITY">
    <vt:lpwstr>ב"ש</vt:lpwstr>
  </property>
  <property fmtid="{D5CDD505-2E9C-101B-9397-08002B2CF9AE}" pid="10" name="DATE">
    <vt:lpwstr>20230524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שוש שטרית</vt:lpwstr>
  </property>
  <property fmtid="{D5CDD505-2E9C-101B-9397-08002B2CF9AE}" pid="14" name="LAWLISTTMP1">
    <vt:lpwstr>70301/144.a</vt:lpwstr>
  </property>
  <property fmtid="{D5CDD505-2E9C-101B-9397-08002B2CF9AE}" pid="15" name="LAWYER">
    <vt:lpwstr>גל גבאי;מוני בן מוחה ;אור בן שאנן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18327</vt:lpwstr>
  </property>
  <property fmtid="{D5CDD505-2E9C-101B-9397-08002B2CF9AE}" pid="22" name="NEWPARTB">
    <vt:lpwstr>09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380020230524</vt:lpwstr>
  </property>
  <property fmtid="{D5CDD505-2E9C-101B-9397-08002B2CF9AE}" pid="34" name="TYPE_N_DATE">
    <vt:lpwstr>38020230524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