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18388-06-10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אחמד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21853-02-11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אחמד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ראמי אבו אחמד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נידאל משעל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נדון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בשם המאשימה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עידית שדה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 xml:space="preserve">               </w:t>
      </w:r>
      <w:r>
        <w:rPr>
          <w:b/>
          <w:b/>
          <w:bCs/>
          <w:rtl w:val="true"/>
        </w:rPr>
        <w:t>בשם הנאשם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בעצמו וע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י </w:t>
      </w:r>
      <w:bookmarkStart w:id="2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2"/>
      <w:r>
        <w:rPr>
          <w:b/>
          <w:b/>
          <w:bCs/>
          <w:rtl w:val="true"/>
        </w:rPr>
        <w:t xml:space="preserve">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חינאוי ממשרדו של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עאמר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start="2160"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firstLine="720" w:start="2160"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בעניינו של נאשם מס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' </w:t>
      </w:r>
      <w:r>
        <w:rPr>
          <w:rFonts w:cs="Arial" w:ascii="Arial" w:hAnsi="Arial"/>
          <w:b/>
          <w:bCs/>
          <w:sz w:val="28"/>
          <w:szCs w:val="28"/>
          <w:u w:val="single"/>
        </w:rPr>
        <w:t>1</w:t>
      </w:r>
    </w:p>
    <w:p>
      <w:pPr>
        <w:pStyle w:val="Style14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Style14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בתיק זה</w:t>
      </w:r>
      <w:r>
        <w:rPr>
          <w:rtl w:val="true"/>
        </w:rPr>
        <w:t xml:space="preserve">, </w:t>
      </w:r>
      <w:r>
        <w:rPr>
          <w:rtl w:val="true"/>
        </w:rPr>
        <w:t xml:space="preserve">ראמי אבו אחמד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הנאשם</w:t>
      </w:r>
      <w:r>
        <w:rPr>
          <w:rtl w:val="true"/>
        </w:rPr>
        <w:t xml:space="preserve">")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 xml:space="preserve">פי הודאתו בעובדות כתב אישום מתוקן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4.10.10</w:t>
      </w:r>
      <w:r>
        <w:rPr>
          <w:rtl w:val="true"/>
        </w:rPr>
        <w:t xml:space="preserve">)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18388-06-10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התיק הראשון</w:t>
      </w:r>
      <w:r>
        <w:rPr>
          <w:rtl w:val="true"/>
        </w:rPr>
        <w:t xml:space="preserve">"), </w:t>
      </w:r>
      <w:r>
        <w:rPr>
          <w:rtl w:val="true"/>
        </w:rPr>
        <w:t>ב</w:t>
      </w:r>
      <w:bookmarkStart w:id="5" w:name="ABSTRACT_START"/>
      <w:bookmarkEnd w:id="5"/>
      <w:r>
        <w:rPr>
          <w:rtl w:val="true"/>
        </w:rPr>
        <w:t>עבירות של קשירת קשר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499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"); </w:t>
      </w:r>
      <w:r>
        <w:rPr>
          <w:rtl w:val="true"/>
        </w:rPr>
        <w:t>עסקה בנשק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החזקת נזק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והסתייעות ברכב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פקודת 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>.</w:t>
      </w:r>
    </w:p>
    <w:p>
      <w:pPr>
        <w:pStyle w:val="Style14"/>
        <w:ind w:start="720" w:end="0"/>
        <w:jc w:val="both"/>
        <w:rPr/>
      </w:pPr>
      <w:bookmarkStart w:id="6" w:name="ABSTRACT_END"/>
      <w:bookmarkEnd w:id="6"/>
      <w:r>
        <w:rPr>
          <w:rtl w:val="true"/>
        </w:rPr>
        <w:t>כן הורשע הנאשם</w:t>
      </w:r>
      <w:r>
        <w:rPr>
          <w:rtl w:val="true"/>
        </w:rPr>
        <w:t xml:space="preserve">, </w:t>
      </w:r>
      <w:r>
        <w:rPr>
          <w:rtl w:val="true"/>
        </w:rPr>
        <w:t xml:space="preserve">עקב הודאתו בעובדות כתב אישום מתוקן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15.11.11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    </w:t>
        </w:r>
        <w:r>
          <w:rPr>
            <w:rStyle w:val="Hyperlink"/>
            <w:color w:val="0000FF"/>
            <w:u w:val="single"/>
          </w:rPr>
          <w:t>21853-02-11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התיק השני</w:t>
      </w:r>
      <w:r>
        <w:rPr>
          <w:rtl w:val="true"/>
        </w:rPr>
        <w:t xml:space="preserve">"), </w:t>
      </w:r>
      <w:r>
        <w:rPr>
          <w:rtl w:val="true"/>
        </w:rPr>
        <w:t>בעבירות של קשירת קשר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499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סחר וביצע עסקה בנשק </w:t>
      </w:r>
      <w:r>
        <w:rPr>
          <w:rtl w:val="true"/>
        </w:rPr>
        <w:t>(</w:t>
      </w:r>
      <w:r>
        <w:rPr>
          <w:rtl w:val="true"/>
        </w:rPr>
        <w:t>מספר מקרים</w:t>
      </w:r>
      <w:r>
        <w:rPr>
          <w:rtl w:val="true"/>
        </w:rPr>
        <w:t xml:space="preserve">), </w:t>
      </w:r>
      <w:r>
        <w:rPr>
          <w:rtl w:val="true"/>
        </w:rPr>
        <w:t xml:space="preserve">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נשיאת נשק </w:t>
      </w:r>
      <w:r>
        <w:rPr>
          <w:rtl w:val="true"/>
        </w:rPr>
        <w:t>(</w:t>
      </w:r>
      <w:r>
        <w:rPr>
          <w:rtl w:val="true"/>
        </w:rPr>
        <w:t>מספר מקרים</w:t>
      </w:r>
      <w:r>
        <w:rPr>
          <w:rtl w:val="true"/>
        </w:rPr>
        <w:t xml:space="preserve">), </w:t>
      </w:r>
      <w:r>
        <w:rPr>
          <w:rtl w:val="true"/>
        </w:rPr>
        <w:t xml:space="preserve">לפי סעיף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ניסיון לסחר ולביצוע עסקה בנשק לפי סעיפים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והפרת הוראה חוקית </w:t>
      </w:r>
      <w:r>
        <w:rPr>
          <w:rtl w:val="true"/>
        </w:rPr>
        <w:t>(</w:t>
      </w:r>
      <w:r>
        <w:rPr>
          <w:rtl w:val="true"/>
        </w:rPr>
        <w:t>מספר רב של מקרים</w:t>
      </w:r>
      <w:r>
        <w:rPr>
          <w:rtl w:val="true"/>
        </w:rPr>
        <w:t xml:space="preserve">), </w:t>
      </w:r>
      <w:r>
        <w:rPr>
          <w:rtl w:val="true"/>
        </w:rPr>
        <w:t xml:space="preserve">לפי סעיף </w:t>
      </w:r>
      <w:r>
        <w:rPr/>
        <w:t>287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עובדות כתב האישום בתיק הראשון</w:t>
      </w:r>
      <w:r>
        <w:rPr>
          <w:rtl w:val="true"/>
        </w:rPr>
        <w:t xml:space="preserve">, </w:t>
      </w:r>
      <w:r>
        <w:rPr>
          <w:rtl w:val="true"/>
        </w:rPr>
        <w:t>הנאשם ונאשם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נידאל משעל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נידאל</w:t>
      </w:r>
      <w:r>
        <w:rPr>
          <w:rtl w:val="true"/>
        </w:rPr>
        <w:t xml:space="preserve">"), </w:t>
      </w:r>
      <w:r>
        <w:rPr>
          <w:rtl w:val="true"/>
        </w:rPr>
        <w:t xml:space="preserve">קשרו קשר לייבא ולהוביל כלי נשק מן הרשות הפלשתינית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הרש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") </w:t>
      </w:r>
      <w:r>
        <w:rPr>
          <w:rtl w:val="true"/>
        </w:rPr>
        <w:t>לתחומי מדינת ישראל</w:t>
      </w:r>
      <w:r>
        <w:rPr>
          <w:rtl w:val="true"/>
        </w:rPr>
        <w:t xml:space="preserve">. </w:t>
      </w:r>
      <w:r>
        <w:rPr>
          <w:rtl w:val="true"/>
        </w:rPr>
        <w:t>הנאשם ונידאל נסעו יחדיו לטול כרם</w:t>
      </w:r>
      <w:r>
        <w:rPr>
          <w:rtl w:val="true"/>
        </w:rPr>
        <w:t xml:space="preserve">, </w:t>
      </w:r>
      <w:r>
        <w:rPr>
          <w:rtl w:val="true"/>
        </w:rPr>
        <w:t>שם הצטייד הנאשם בשני אקדחים</w:t>
      </w:r>
      <w:r>
        <w:rPr>
          <w:rtl w:val="true"/>
        </w:rPr>
        <w:t xml:space="preserve">, </w:t>
      </w:r>
      <w:r>
        <w:rPr>
          <w:rtl w:val="true"/>
        </w:rPr>
        <w:t>שתי מחסניות ותחמושת</w:t>
      </w:r>
      <w:r>
        <w:rPr>
          <w:rtl w:val="true"/>
        </w:rPr>
        <w:t xml:space="preserve">, </w:t>
      </w:r>
      <w:r>
        <w:rPr>
          <w:rtl w:val="true"/>
        </w:rPr>
        <w:t>אותם הטמינו השניים במיכל הדלק של רכב הנאשם</w:t>
      </w:r>
      <w:r>
        <w:rPr>
          <w:rtl w:val="true"/>
        </w:rPr>
        <w:t xml:space="preserve">. </w:t>
      </w:r>
      <w:r>
        <w:rPr>
          <w:rtl w:val="true"/>
        </w:rPr>
        <w:t>השניים נתפסו עם הגיעם למחסום בטחוני ביציאה מטול כרם</w:t>
      </w:r>
      <w:r>
        <w:rPr>
          <w:rtl w:val="true"/>
        </w:rPr>
        <w:t xml:space="preserve">, </w:t>
      </w:r>
      <w:r>
        <w:rPr>
          <w:rtl w:val="true"/>
        </w:rPr>
        <w:t>בשל ערנות כוחות הביטחון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באשר לתיק השני</w:t>
      </w:r>
      <w:r>
        <w:rPr>
          <w:rtl w:val="true"/>
        </w:rPr>
        <w:t xml:space="preserve">, </w:t>
      </w:r>
      <w:r>
        <w:rPr>
          <w:rtl w:val="true"/>
        </w:rPr>
        <w:t>כתב האישום מתאר את חלקו של הנאשם בפרשת נשק מסועפת</w:t>
      </w:r>
      <w:r>
        <w:rPr>
          <w:rtl w:val="true"/>
        </w:rPr>
        <w:t xml:space="preserve">, </w:t>
      </w:r>
      <w:r>
        <w:rPr>
          <w:rtl w:val="true"/>
        </w:rPr>
        <w:t>בה שימש כסוחר נשק פעיל ועצמאי</w:t>
      </w:r>
      <w:r>
        <w:rPr>
          <w:rtl w:val="true"/>
        </w:rPr>
        <w:t xml:space="preserve">, </w:t>
      </w:r>
      <w:r>
        <w:rPr>
          <w:rtl w:val="true"/>
        </w:rPr>
        <w:t xml:space="preserve">אשר קשר קשרי מסחר הדדיים עם באסל מוקטראן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באסל</w:t>
      </w:r>
      <w:r>
        <w:rPr>
          <w:rtl w:val="true"/>
        </w:rPr>
        <w:t xml:space="preserve">"), </w:t>
      </w:r>
      <w:r>
        <w:rPr>
          <w:rtl w:val="true"/>
        </w:rPr>
        <w:t>אשר הפעיל ארגון של סחר בלתי חוקי בנשק משך חודשים ארוכים</w:t>
      </w:r>
      <w:r>
        <w:rPr>
          <w:rtl w:val="true"/>
        </w:rPr>
        <w:t xml:space="preserve">. </w:t>
      </w:r>
    </w:p>
    <w:p>
      <w:pPr>
        <w:pStyle w:val="Style14"/>
        <w:ind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בהיותו משוחרר בתנאי מעצר בית עקב מעורבותו בתיק הראשון</w:t>
      </w:r>
      <w:r>
        <w:rPr>
          <w:rtl w:val="true"/>
        </w:rPr>
        <w:t xml:space="preserve">, </w:t>
      </w:r>
      <w:r>
        <w:rPr>
          <w:rtl w:val="true"/>
        </w:rPr>
        <w:t>עסק בסחר בכלי נשק</w:t>
      </w:r>
      <w:r>
        <w:rPr>
          <w:rtl w:val="true"/>
        </w:rPr>
        <w:t xml:space="preserve">, </w:t>
      </w:r>
      <w:r>
        <w:rPr>
          <w:rtl w:val="true"/>
        </w:rPr>
        <w:t>בתחמושת ובאמל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כמפורט בכתב האישום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הצדדים</w:t>
      </w:r>
    </w:p>
    <w:p>
      <w:pPr>
        <w:pStyle w:val="Style14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המאשימה עמדה בטיעוניה על חומרת המעשים</w:t>
      </w:r>
      <w:r>
        <w:rPr>
          <w:rtl w:val="true"/>
        </w:rPr>
        <w:t xml:space="preserve">, </w:t>
      </w:r>
      <w:r>
        <w:rPr>
          <w:rtl w:val="true"/>
        </w:rPr>
        <w:t>ועל כך שהנאשם עסק במסחר בנשק באופן תדיר</w:t>
      </w:r>
      <w:r>
        <w:rPr>
          <w:rtl w:val="true"/>
        </w:rPr>
        <w:t xml:space="preserve">, </w:t>
      </w:r>
      <w:r>
        <w:rPr>
          <w:rtl w:val="true"/>
        </w:rPr>
        <w:t>דבר המחייב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ענישה מרתיעה ומשמעותית</w:t>
      </w:r>
      <w:r>
        <w:rPr>
          <w:rtl w:val="true"/>
        </w:rPr>
        <w:t xml:space="preserve">. </w:t>
      </w:r>
      <w:r>
        <w:rPr>
          <w:rtl w:val="true"/>
        </w:rPr>
        <w:t>עוד מייחסת המאשימה חומרה לכך שהנאשם ביצע חלק מן העבירות תוך הפרת תנאי מעצר שהוטלו עליו בצו בית המשפט</w:t>
      </w:r>
      <w:r>
        <w:rPr>
          <w:rtl w:val="true"/>
        </w:rPr>
        <w:t xml:space="preserve">, </w:t>
      </w:r>
      <w:r>
        <w:rPr>
          <w:rtl w:val="true"/>
        </w:rPr>
        <w:t>וכן הפנתה לעברו הפלילי המכביד</w:t>
      </w:r>
      <w:r>
        <w:rPr>
          <w:rtl w:val="true"/>
        </w:rPr>
        <w:t xml:space="preserve">. </w:t>
      </w:r>
      <w:r>
        <w:rPr>
          <w:rtl w:val="true"/>
        </w:rPr>
        <w:t>המאשימה ציינה בטיעוניה את שיטתיות הפעולה</w:t>
      </w:r>
      <w:r>
        <w:rPr>
          <w:rtl w:val="true"/>
        </w:rPr>
        <w:t xml:space="preserve">, </w:t>
      </w:r>
      <w:r>
        <w:rPr>
          <w:rtl w:val="true"/>
        </w:rPr>
        <w:t>תדירותה</w:t>
      </w:r>
      <w:r>
        <w:rPr>
          <w:rtl w:val="true"/>
        </w:rPr>
        <w:t xml:space="preserve">, </w:t>
      </w:r>
      <w:r>
        <w:rPr>
          <w:rtl w:val="true"/>
        </w:rPr>
        <w:t>החבירה לארגון סחר וההסלמה ביחס להרשעות הקודמות</w:t>
      </w:r>
      <w:r>
        <w:rPr>
          <w:rtl w:val="true"/>
        </w:rPr>
        <w:t xml:space="preserve">. </w:t>
      </w:r>
      <w:r>
        <w:rPr>
          <w:rtl w:val="true"/>
        </w:rPr>
        <w:t>בהתאם מבקשת המאשימה להטיל על הנאשם עונש של מאסר בפועל לשנים רבות</w:t>
      </w:r>
      <w:r>
        <w:rPr>
          <w:rtl w:val="true"/>
        </w:rPr>
        <w:t xml:space="preserve">, </w:t>
      </w:r>
      <w:r>
        <w:rPr>
          <w:rtl w:val="true"/>
        </w:rPr>
        <w:t>תוך שהיא מפנה לגזרי הדין אשר ניתנו לגבי מעורבים נוספים בפרשת התיק השני</w:t>
      </w:r>
      <w:r>
        <w:rPr>
          <w:rtl w:val="true"/>
        </w:rPr>
        <w:t xml:space="preserve">,  </w:t>
      </w:r>
      <w:r>
        <w:rPr>
          <w:rtl w:val="true"/>
        </w:rPr>
        <w:t>מאסר מותנה ארוך ומרתיע</w:t>
      </w:r>
      <w:r>
        <w:rPr>
          <w:rtl w:val="true"/>
        </w:rPr>
        <w:t xml:space="preserve">, </w:t>
      </w:r>
      <w:r>
        <w:rPr>
          <w:rtl w:val="true"/>
        </w:rPr>
        <w:t>פסילת רישיון לתקופה ארוכה וכן פסילה על תנאי וקנס כספי</w:t>
      </w:r>
      <w:r>
        <w:rPr>
          <w:rtl w:val="true"/>
        </w:rPr>
        <w:t xml:space="preserve">. </w:t>
      </w:r>
      <w:r>
        <w:rPr>
          <w:rtl w:val="true"/>
        </w:rPr>
        <w:t>כן מבקשת המאשימה לחלט את רכבו של הנאשם באמצעותו ביצע את העבירות של החזקה</w:t>
      </w:r>
      <w:r>
        <w:rPr>
          <w:rtl w:val="true"/>
        </w:rPr>
        <w:t xml:space="preserve">, </w:t>
      </w:r>
      <w:r>
        <w:rPr>
          <w:rtl w:val="true"/>
        </w:rPr>
        <w:t>הובלה ונשיאת הרכב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הסנגור ביקש בטיעוניו להפחית מחומרת המעשים</w:t>
      </w:r>
      <w:r>
        <w:rPr>
          <w:rtl w:val="true"/>
        </w:rPr>
        <w:t xml:space="preserve">, </w:t>
      </w:r>
      <w:r>
        <w:rPr>
          <w:rtl w:val="true"/>
        </w:rPr>
        <w:t>בציינו כי חלקו של נידאל בביצוע עבירות התיק הראשון לא היה מינורי</w:t>
      </w:r>
      <w:r>
        <w:rPr>
          <w:rtl w:val="true"/>
        </w:rPr>
        <w:t xml:space="preserve">, </w:t>
      </w:r>
      <w:r>
        <w:rPr>
          <w:rtl w:val="true"/>
        </w:rPr>
        <w:t>ושניתן לראות את חלקם של השניים כשווה ערך</w:t>
      </w:r>
      <w:r>
        <w:rPr>
          <w:rtl w:val="true"/>
        </w:rPr>
        <w:t xml:space="preserve">. </w:t>
      </w:r>
      <w:r>
        <w:rPr>
          <w:rtl w:val="true"/>
        </w:rPr>
        <w:t>עוד ציין לגבי העבירות בתיק השני</w:t>
      </w:r>
      <w:r>
        <w:rPr>
          <w:rtl w:val="true"/>
        </w:rPr>
        <w:t xml:space="preserve">, </w:t>
      </w:r>
      <w:r>
        <w:rPr>
          <w:rtl w:val="true"/>
        </w:rPr>
        <w:t>כי מדובר בפעולות שבוצעו באמצעות הטלפון</w:t>
      </w:r>
      <w:r>
        <w:rPr>
          <w:rtl w:val="true"/>
        </w:rPr>
        <w:t xml:space="preserve">, </w:t>
      </w:r>
      <w:r>
        <w:rPr>
          <w:rtl w:val="true"/>
        </w:rPr>
        <w:t>וללא יציאה ממקום חלופת המעצר</w:t>
      </w:r>
      <w:r>
        <w:rPr>
          <w:rtl w:val="true"/>
        </w:rPr>
        <w:t>.</w:t>
      </w:r>
    </w:p>
    <w:p>
      <w:pPr>
        <w:pStyle w:val="Style14"/>
        <w:ind w:start="720" w:end="0"/>
        <w:jc w:val="both"/>
        <w:rPr/>
      </w:pPr>
      <w:r>
        <w:rPr>
          <w:rtl w:val="true"/>
        </w:rPr>
        <w:t>עוד הפנה הסנגור לנסיבותיו האשיות של הנאשם</w:t>
      </w:r>
      <w:r>
        <w:rPr>
          <w:rtl w:val="true"/>
        </w:rPr>
        <w:t xml:space="preserve">, </w:t>
      </w:r>
      <w:r>
        <w:rPr>
          <w:rtl w:val="true"/>
        </w:rPr>
        <w:t>שהוא לדבריו המפרנס היחיד במשפחתו</w:t>
      </w:r>
      <w:r>
        <w:rPr>
          <w:rtl w:val="true"/>
        </w:rPr>
        <w:t xml:space="preserve">, </w:t>
      </w:r>
      <w:r>
        <w:rPr>
          <w:rtl w:val="true"/>
        </w:rPr>
        <w:t>בהיותו יתום מצד אביו ובשל מחלתה של אמו</w:t>
      </w:r>
      <w:r>
        <w:rPr>
          <w:rtl w:val="true"/>
        </w:rPr>
        <w:t xml:space="preserve">, </w:t>
      </w:r>
      <w:r>
        <w:rPr>
          <w:rtl w:val="true"/>
        </w:rPr>
        <w:t>וביקש להתחשב בכך שלנאשם אין עבר פלילי בתחום זה של עבירות נשק</w:t>
      </w:r>
      <w:r>
        <w:rPr>
          <w:rtl w:val="true"/>
        </w:rPr>
        <w:t xml:space="preserve">. </w:t>
      </w:r>
      <w:r>
        <w:rPr>
          <w:rtl w:val="true"/>
        </w:rPr>
        <w:t>כן ביקש להתחשב בהודאתו של הנאשם בעובדות כתבי האישום</w:t>
      </w:r>
      <w:r>
        <w:rPr>
          <w:rtl w:val="true"/>
        </w:rPr>
        <w:t>.</w:t>
      </w:r>
    </w:p>
    <w:p>
      <w:pPr>
        <w:pStyle w:val="Style14"/>
        <w:ind w:start="720" w:end="0"/>
        <w:jc w:val="both"/>
        <w:rPr/>
      </w:pPr>
      <w:r>
        <w:rPr>
          <w:rtl w:val="true"/>
        </w:rPr>
        <w:t xml:space="preserve">הסנגור  סבור כי יש להשית על הנאשם עונש מאוחד בשני התיקים המצורפים שלא יעלה על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וכן להורות על פריסת הקנס ככל שיוטל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 שירות המבחן</w:t>
      </w:r>
    </w:p>
    <w:p>
      <w:pPr>
        <w:pStyle w:val="Style14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קצין המבחן התרשם מקיום דפוסים עבריינים מושרשים אצל הנאשם</w:t>
      </w:r>
      <w:r>
        <w:rPr>
          <w:rtl w:val="true"/>
        </w:rPr>
        <w:t xml:space="preserve">, </w:t>
      </w:r>
      <w:r>
        <w:rPr>
          <w:rtl w:val="true"/>
        </w:rPr>
        <w:t>וכן מהעדר מוטיבציה לשינוי</w:t>
      </w:r>
      <w:r>
        <w:rPr>
          <w:rtl w:val="true"/>
        </w:rPr>
        <w:t xml:space="preserve">. </w:t>
      </w:r>
      <w:r>
        <w:rPr>
          <w:rtl w:val="true"/>
        </w:rPr>
        <w:t>להערכתו</w:t>
      </w:r>
      <w:r>
        <w:rPr>
          <w:rtl w:val="true"/>
        </w:rPr>
        <w:t xml:space="preserve">, </w:t>
      </w:r>
      <w:r>
        <w:rPr>
          <w:rtl w:val="true"/>
        </w:rPr>
        <w:t>קיים סיכון גבוה להישנות העבירות ולפיכך המליץ על ענישה הרתעתית מוחשית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Style14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בכל האמור לגבי התיק השני</w:t>
      </w:r>
      <w:r>
        <w:rPr>
          <w:rtl w:val="true"/>
        </w:rPr>
        <w:t xml:space="preserve">, </w:t>
      </w:r>
      <w:r>
        <w:rPr>
          <w:rtl w:val="true"/>
        </w:rPr>
        <w:t>עסקינן בפרשה חמורה ביותר של עבירות בנשק</w:t>
      </w:r>
      <w:r>
        <w:rPr>
          <w:rtl w:val="true"/>
        </w:rPr>
        <w:t xml:space="preserve">, </w:t>
      </w:r>
      <w:r>
        <w:rPr>
          <w:rtl w:val="true"/>
        </w:rPr>
        <w:t xml:space="preserve">פרשה מסועפת אשר הניבה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 xml:space="preserve">כתבי אישום כנגד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. </w:t>
      </w:r>
      <w:r>
        <w:rPr>
          <w:rtl w:val="true"/>
        </w:rPr>
        <w:t>הנאשם עסק במסחר בנשק כעיסוק מרכזי בחייו</w:t>
      </w:r>
      <w:r>
        <w:rPr>
          <w:rtl w:val="true"/>
        </w:rPr>
        <w:t xml:space="preserve">, </w:t>
      </w:r>
      <w:r>
        <w:rPr>
          <w:rtl w:val="true"/>
        </w:rPr>
        <w:t>כפי שניתן להתרשם מריבוי העסקאות המפורטות בשני כתבי האישום</w:t>
      </w:r>
      <w:r>
        <w:rPr>
          <w:rtl w:val="true"/>
        </w:rPr>
        <w:t xml:space="preserve">, </w:t>
      </w:r>
      <w:r>
        <w:rPr>
          <w:rtl w:val="true"/>
        </w:rPr>
        <w:t>והוא הוסיף חטא על פשע והמשיך עיסוקו זה בשעה שהיה נתון במעצר עקב מעורבותו בתיק הראשון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הנאשם גילה במעשיו העדר יראה מן החוק או הפנמה של נורמות התנהגות מקובלות</w:t>
      </w:r>
      <w:r>
        <w:rPr>
          <w:rtl w:val="true"/>
        </w:rPr>
        <w:t xml:space="preserve">, </w:t>
      </w:r>
      <w:r>
        <w:rPr>
          <w:rtl w:val="true"/>
        </w:rPr>
        <w:t>ופעל לסיכון שלום הציבור וביטחונו</w:t>
      </w:r>
      <w:r>
        <w:rPr>
          <w:rtl w:val="true"/>
        </w:rPr>
        <w:t xml:space="preserve">. </w:t>
      </w:r>
      <w:r>
        <w:rPr>
          <w:rtl w:val="true"/>
        </w:rPr>
        <w:t xml:space="preserve">אין לייחס </w:t>
      </w:r>
      <w:r>
        <w:rPr>
          <w:rtl w:val="true"/>
        </w:rPr>
        <w:t>"</w:t>
      </w:r>
      <w:r>
        <w:rPr>
          <w:rtl w:val="true"/>
        </w:rPr>
        <w:t>תמימות</w:t>
      </w:r>
      <w:r>
        <w:rPr>
          <w:rtl w:val="true"/>
        </w:rPr>
        <w:t xml:space="preserve">" </w:t>
      </w:r>
      <w:r>
        <w:rPr>
          <w:rtl w:val="true"/>
        </w:rPr>
        <w:t>לפעולותיו של הנאשם</w:t>
      </w:r>
      <w:r>
        <w:rPr>
          <w:rtl w:val="true"/>
        </w:rPr>
        <w:t xml:space="preserve">, </w:t>
      </w:r>
      <w:r>
        <w:rPr>
          <w:rtl w:val="true"/>
        </w:rPr>
        <w:t>או ליתן משקל לטענה כי פעל מתוך קשיי פרנסה</w:t>
      </w:r>
      <w:r>
        <w:rPr>
          <w:rtl w:val="true"/>
        </w:rPr>
        <w:t xml:space="preserve">. </w:t>
      </w:r>
      <w:r>
        <w:rPr>
          <w:rtl w:val="true"/>
        </w:rPr>
        <w:t>לא התרשמתי כי לנאשם קושי בהשגת מקור פרנסה לגיטימי</w:t>
      </w:r>
      <w:r>
        <w:rPr>
          <w:rtl w:val="true"/>
        </w:rPr>
        <w:t xml:space="preserve">, </w:t>
      </w:r>
      <w:r>
        <w:rPr>
          <w:rtl w:val="true"/>
        </w:rPr>
        <w:t>ובודאי שאין לקבל נימוק כאמור לשם הקלה בעונשו של מי שבחר להתפרנס תוך רמיסת החוק</w:t>
      </w:r>
      <w:r>
        <w:rPr>
          <w:rtl w:val="true"/>
        </w:rPr>
        <w:t xml:space="preserve">. </w:t>
      </w:r>
      <w:r>
        <w:rPr>
          <w:rtl w:val="true"/>
        </w:rPr>
        <w:t>הנאשם היה גורם דומיננטי ופעיל בפעולת רשת הסחר שנטוותה סביב ארגונו של באסל</w:t>
      </w:r>
      <w:r>
        <w:rPr>
          <w:rtl w:val="true"/>
        </w:rPr>
        <w:t xml:space="preserve">, </w:t>
      </w:r>
      <w:r>
        <w:rPr>
          <w:rtl w:val="true"/>
        </w:rPr>
        <w:t>היה בעל קשרי מסחר עם ספק נשק תושב הרש</w:t>
      </w:r>
      <w:r>
        <w:rPr>
          <w:rtl w:val="true"/>
        </w:rPr>
        <w:t>"</w:t>
      </w:r>
      <w:r>
        <w:rPr>
          <w:rtl w:val="true"/>
        </w:rPr>
        <w:t>פ וכן עם סוחרי נשק אחרים</w:t>
      </w:r>
      <w:r>
        <w:rPr>
          <w:rtl w:val="true"/>
        </w:rPr>
        <w:t xml:space="preserve">. </w:t>
      </w:r>
      <w:r>
        <w:rPr>
          <w:rtl w:val="true"/>
        </w:rPr>
        <w:t>הנאשם לא עסק רק בתיווך</w:t>
      </w:r>
      <w:r>
        <w:rPr>
          <w:rtl w:val="true"/>
        </w:rPr>
        <w:t xml:space="preserve">, </w:t>
      </w:r>
      <w:r>
        <w:rPr>
          <w:rtl w:val="true"/>
        </w:rPr>
        <w:t>אלא פעל בעצמו להובלת נשק</w:t>
      </w:r>
      <w:r>
        <w:rPr>
          <w:rtl w:val="true"/>
        </w:rPr>
        <w:t xml:space="preserve">, </w:t>
      </w:r>
      <w:r>
        <w:rPr>
          <w:rtl w:val="true"/>
        </w:rPr>
        <w:t>כפי שניתן ללמוד מעובדות כתב האישום בתיק הראשון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כבר עמדתי בעבר על כך</w:t>
      </w:r>
      <w:r>
        <w:rPr>
          <w:rtl w:val="true"/>
        </w:rPr>
        <w:t xml:space="preserve">, </w:t>
      </w:r>
      <w:r>
        <w:rPr>
          <w:rtl w:val="true"/>
        </w:rPr>
        <w:t>שלאור המסוכנות היתרה שבעבירות נשק חובה על בית המשפט להילחם בתופעה זו מלחמת חורמה</w:t>
      </w:r>
      <w:r>
        <w:rPr>
          <w:rtl w:val="true"/>
        </w:rPr>
        <w:t xml:space="preserve">, </w:t>
      </w:r>
      <w:r>
        <w:rPr>
          <w:rtl w:val="true"/>
        </w:rPr>
        <w:t>ולהטיל ענישה מכאיבה הנותנת ביטוי לחומרתן של עבירות אלו</w:t>
      </w:r>
      <w:r>
        <w:rPr>
          <w:rtl w:val="true"/>
        </w:rPr>
        <w:t xml:space="preserve">. </w:t>
      </w:r>
      <w:r>
        <w:rPr>
          <w:rtl w:val="true"/>
        </w:rPr>
        <w:t>בעניין זה הפניתי לדברי בית המשפט העליון ב</w:t>
      </w:r>
      <w:hyperlink r:id="rId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3361/08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נתנאל ליבוביץ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 פורסם</w:t>
      </w:r>
      <w:r>
        <w:rPr>
          <w:rtl w:val="true"/>
        </w:rPr>
        <w:t xml:space="preserve">), </w:t>
      </w:r>
      <w:r>
        <w:rPr>
          <w:rtl w:val="true"/>
        </w:rPr>
        <w:t>לפיהם</w:t>
      </w:r>
      <w:r>
        <w:rPr>
          <w:rtl w:val="true"/>
        </w:rPr>
        <w:t>:</w:t>
      </w:r>
    </w:p>
    <w:p>
      <w:pPr>
        <w:pStyle w:val="Style14"/>
        <w:ind w:start="1440" w:end="0"/>
        <w:jc w:val="both"/>
        <w:rPr/>
      </w:pPr>
      <w:r>
        <w:rPr>
          <w:rtl w:val="true"/>
        </w:rPr>
      </w:r>
    </w:p>
    <w:p>
      <w:pPr>
        <w:pStyle w:val="Style14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באשר לעבירות 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בית משפט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שבתוך עמו הוא יושב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חזר פעמים אין ספור על היחס המחמיר שיש לנקוט כלפיהן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הדברים ברורים כשמש</w:t>
      </w:r>
      <w:r>
        <w:rPr>
          <w:b/>
          <w:bCs/>
          <w:rtl w:val="true"/>
        </w:rPr>
        <w:t>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המחזיקים בנשק בעבירה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 הסוחרים 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פי רוב וככלל אינם עושים זאת אלא לצרכי עבירות אחרות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הכרוכות באלימות או בהפחדה</w:t>
      </w:r>
      <w:r>
        <w:rPr>
          <w:b/>
          <w:bCs/>
          <w:rtl w:val="true"/>
        </w:rPr>
        <w:t>".</w:t>
      </w:r>
    </w:p>
    <w:p>
      <w:pPr>
        <w:pStyle w:val="Style14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בנוסף לעבירות בנשק</w:t>
      </w:r>
      <w:r>
        <w:rPr>
          <w:rtl w:val="true"/>
        </w:rPr>
        <w:t xml:space="preserve">, </w:t>
      </w:r>
      <w:r>
        <w:rPr>
          <w:rtl w:val="true"/>
        </w:rPr>
        <w:t>הנאשם הורשע בעבירות של הפרת הוראה חוקית</w:t>
      </w:r>
      <w:r>
        <w:rPr>
          <w:rtl w:val="true"/>
        </w:rPr>
        <w:t xml:space="preserve">, </w:t>
      </w:r>
      <w:r>
        <w:rPr>
          <w:rtl w:val="true"/>
        </w:rPr>
        <w:t xml:space="preserve">וזאת בשל ביצוע העבירות </w:t>
      </w:r>
      <w:r>
        <w:rPr>
          <w:rtl w:val="true"/>
        </w:rPr>
        <w:t>(</w:t>
      </w:r>
      <w:r>
        <w:rPr>
          <w:rtl w:val="true"/>
        </w:rPr>
        <w:t>חלקן</w:t>
      </w:r>
      <w:r>
        <w:rPr>
          <w:rtl w:val="true"/>
        </w:rPr>
        <w:t xml:space="preserve">) </w:t>
      </w:r>
      <w:r>
        <w:rPr>
          <w:rtl w:val="true"/>
        </w:rPr>
        <w:t>בזמן שהייתו בתנאי מעצר בית</w:t>
      </w:r>
      <w:r>
        <w:rPr>
          <w:rtl w:val="true"/>
        </w:rPr>
        <w:t xml:space="preserve">. </w:t>
      </w:r>
      <w:r>
        <w:rPr>
          <w:rtl w:val="true"/>
        </w:rPr>
        <w:t>עניין זה יש בו ללמד יותר מכול על הצורך לנקוט עם הנאשם יד קשה</w:t>
      </w:r>
      <w:r>
        <w:rPr>
          <w:rtl w:val="true"/>
        </w:rPr>
        <w:t xml:space="preserve">, </w:t>
      </w:r>
      <w:r>
        <w:rPr>
          <w:rtl w:val="true"/>
        </w:rPr>
        <w:t>בהיותו חסר מורא אשר פועל כמי שבחר לו את העבריינות כאורח חיים</w:t>
      </w:r>
      <w:r>
        <w:rPr>
          <w:rtl w:val="true"/>
        </w:rPr>
        <w:t xml:space="preserve">. </w:t>
      </w:r>
      <w:r>
        <w:rPr>
          <w:rtl w:val="true"/>
        </w:rPr>
        <w:t>על כך ניתן ללמוד גם מגיליון ההרשעות הקודמות</w:t>
      </w:r>
      <w:r>
        <w:rPr>
          <w:rtl w:val="true"/>
        </w:rPr>
        <w:t xml:space="preserve">, </w:t>
      </w:r>
      <w:r>
        <w:rPr>
          <w:rtl w:val="true"/>
        </w:rPr>
        <w:t>הכולל הרשעות בגין עבירות סמים ואלימות</w:t>
      </w:r>
      <w:r>
        <w:rPr>
          <w:rtl w:val="true"/>
        </w:rPr>
        <w:t xml:space="preserve">, </w:t>
      </w:r>
      <w:r>
        <w:rPr>
          <w:rtl w:val="true"/>
        </w:rPr>
        <w:t>החזקת אגרופן או סכין</w:t>
      </w:r>
      <w:r>
        <w:rPr>
          <w:rtl w:val="true"/>
        </w:rPr>
        <w:t xml:space="preserve">, </w:t>
      </w:r>
      <w:r>
        <w:rPr>
          <w:rtl w:val="true"/>
        </w:rPr>
        <w:t>תקיפה בנסיבות מחמירות והפרעה לשוטר במילוי תפקידו</w:t>
      </w:r>
      <w:r>
        <w:rPr>
          <w:rtl w:val="true"/>
        </w:rPr>
        <w:t xml:space="preserve">. </w:t>
      </w:r>
      <w:r>
        <w:rPr>
          <w:rtl w:val="true"/>
        </w:rPr>
        <w:t>בעניין זה אני סבור כי הצדק עם המאשימה</w:t>
      </w:r>
      <w:r>
        <w:rPr>
          <w:rtl w:val="true"/>
        </w:rPr>
        <w:t xml:space="preserve">, </w:t>
      </w:r>
      <w:r>
        <w:rPr>
          <w:rtl w:val="true"/>
        </w:rPr>
        <w:t>בכך שכתבי האישום בתיקים שלפניי מעידים על הסלמת ההתנהגות ועל ביסוס עמוק של דפוס חיים עברייני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באשר לנסיבותיו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לא התרשמתי כי יש בהן להצדיק הקלה בעונש</w:t>
      </w:r>
      <w:r>
        <w:rPr>
          <w:rtl w:val="true"/>
        </w:rPr>
        <w:t xml:space="preserve">, </w:t>
      </w:r>
      <w:r>
        <w:rPr>
          <w:rtl w:val="true"/>
        </w:rPr>
        <w:t>וזאת לאור גילו</w:t>
      </w:r>
      <w:r>
        <w:rPr>
          <w:rtl w:val="true"/>
        </w:rPr>
        <w:t xml:space="preserve">, </w:t>
      </w:r>
      <w:r>
        <w:rPr>
          <w:rtl w:val="true"/>
        </w:rPr>
        <w:t>עברו והעדר תימוכין לטענותיו בדבר היותו מפרנס יחיד</w:t>
      </w:r>
      <w:r>
        <w:rPr>
          <w:rtl w:val="true"/>
        </w:rPr>
        <w:t xml:space="preserve">, </w:t>
      </w:r>
      <w:r>
        <w:rPr>
          <w:rtl w:val="true"/>
        </w:rPr>
        <w:t>כאשר ניתן אף לקבוע כי אף אם הנאשם היה תומך טיעון זה בראיות</w:t>
      </w:r>
      <w:r>
        <w:rPr>
          <w:rtl w:val="true"/>
        </w:rPr>
        <w:t xml:space="preserve">, </w:t>
      </w:r>
      <w:r>
        <w:rPr>
          <w:rtl w:val="true"/>
        </w:rPr>
        <w:t>לא היה בכך לספק נימוק סביר לצורך התחשבות בעת גזירת הדין</w:t>
      </w:r>
      <w:r>
        <w:rPr>
          <w:rtl w:val="true"/>
        </w:rPr>
        <w:t xml:space="preserve">. </w:t>
      </w:r>
      <w:r>
        <w:rPr>
          <w:rtl w:val="true"/>
        </w:rPr>
        <w:t>בקשר לכך אציין את פסיקת בית המשפט העליון בכל האמור לעבירות נשק</w:t>
      </w:r>
      <w:r>
        <w:rPr>
          <w:rtl w:val="true"/>
        </w:rPr>
        <w:t xml:space="preserve">, </w:t>
      </w:r>
      <w:r>
        <w:rPr>
          <w:rtl w:val="true"/>
        </w:rPr>
        <w:t>כי נסיבותיו האישיות של הנאשם נסוגות מפני האינטרס הציבורי ושיקולי גמול והרתעה</w:t>
      </w:r>
      <w:r>
        <w:rPr>
          <w:rtl w:val="true"/>
        </w:rPr>
        <w:t xml:space="preserve">, </w:t>
      </w:r>
      <w:r>
        <w:rPr>
          <w:rtl w:val="true"/>
        </w:rPr>
        <w:t xml:space="preserve">כאשר במקרים דומים הוטל מאסר משמעותי גם על מי שזו עבירתו הראשונה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: </w:t>
      </w:r>
      <w:hyperlink r:id="rId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פואד אבו דחאל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 פורסם</w:t>
      </w:r>
      <w:r>
        <w:rPr>
          <w:rtl w:val="true"/>
        </w:rPr>
        <w:t>)).</w:t>
      </w:r>
    </w:p>
    <w:p>
      <w:pPr>
        <w:pStyle w:val="Style14"/>
        <w:ind w:hanging="720" w:start="720" w:end="0"/>
        <w:jc w:val="both"/>
        <w:rPr/>
      </w:pPr>
      <w:r>
        <w:rPr>
          <w:rtl w:val="true"/>
        </w:rPr>
      </w:r>
    </w:p>
    <w:p>
      <w:pPr>
        <w:pStyle w:val="Style14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לפיכך ולאחר ששקלתי את כל השיקולים</w:t>
      </w:r>
      <w:r>
        <w:rPr>
          <w:rtl w:val="true"/>
        </w:rPr>
        <w:t xml:space="preserve">, </w:t>
      </w:r>
      <w:r>
        <w:rPr>
          <w:rtl w:val="true"/>
        </w:rPr>
        <w:t>הן לקולא והן לחומרא</w:t>
      </w:r>
      <w:r>
        <w:rPr>
          <w:rtl w:val="true"/>
        </w:rPr>
        <w:t xml:space="preserve">, </w:t>
      </w:r>
      <w:r>
        <w:rPr>
          <w:rtl w:val="true"/>
        </w:rPr>
        <w:t>הריני לגזור על 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 העונשים הבאים</w:t>
      </w:r>
      <w:r>
        <w:rPr>
          <w:rtl w:val="true"/>
        </w:rPr>
        <w:t xml:space="preserve">: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hanging="720" w:start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אני דן את הנאשם לחמש וחצי שנות מאסר בפועל בניכוי ימי מעצרו</w:t>
      </w:r>
      <w:r>
        <w:rPr>
          <w:rtl w:val="true"/>
        </w:rPr>
        <w:t>.</w:t>
      </w:r>
    </w:p>
    <w:p>
      <w:pPr>
        <w:pStyle w:val="Style14"/>
        <w:ind w:hanging="720" w:start="216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אני דן את הנאשם ל 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והתנאי שהנאשם לא יעבור בפרק זמן זה על כל עבירה מן העבירות בהן הורשע בכתבי אישום אלה שהורשע בגינם</w:t>
      </w:r>
      <w:r>
        <w:rPr>
          <w:rtl w:val="true"/>
        </w:rPr>
        <w:t>.</w:t>
      </w:r>
    </w:p>
    <w:p>
      <w:pPr>
        <w:pStyle w:val="Style14"/>
        <w:ind w:hanging="720" w:start="216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 xml:space="preserve">אני דן את הנאשם לתשלום קנס בסך של </w:t>
      </w:r>
      <w:r>
        <w:rPr/>
        <w:t>10,000</w:t>
      </w:r>
      <w:r>
        <w:rPr>
          <w:rtl w:val="true"/>
        </w:rPr>
        <w:t xml:space="preserve"> ₪, </w:t>
      </w:r>
      <w:r>
        <w:rPr>
          <w:rtl w:val="true"/>
        </w:rPr>
        <w:t xml:space="preserve">או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, </w:t>
      </w:r>
      <w:r>
        <w:rPr>
          <w:rtl w:val="true"/>
        </w:rPr>
        <w:t>אותם ייש</w:t>
      </w:r>
      <w:r>
        <w:rPr>
          <w:rtl w:val="true"/>
        </w:rPr>
        <w:t>א</w:t>
      </w:r>
      <w:r>
        <w:rPr>
          <w:rtl w:val="true"/>
        </w:rPr>
        <w:t xml:space="preserve"> הנאשם בנוסף לכל מאסר אחר שהוטל עליו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בתוך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Style14"/>
        <w:ind w:hanging="720" w:start="216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אני פוסל את הנאשם מלקבל או מלהחזיק ברישיון נהיגה למשך חמש שנים וזאת החל מיום שחרורו מהכלא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לעניין בקשת החילוט</w:t>
      </w:r>
      <w:r>
        <w:rPr>
          <w:rtl w:val="true"/>
        </w:rPr>
        <w:t xml:space="preserve">, </w:t>
      </w:r>
      <w:r>
        <w:rPr>
          <w:rtl w:val="true"/>
        </w:rPr>
        <w:t xml:space="preserve">המאשימה עתרה להורות על חילוט הרכב מסוג </w:t>
      </w:r>
      <w:r>
        <w:rPr>
          <w:rtl w:val="true"/>
        </w:rPr>
        <w:t>"</w:t>
      </w:r>
      <w:r>
        <w:rPr>
          <w:rtl w:val="true"/>
        </w:rPr>
        <w:t>סיטרואן</w:t>
      </w:r>
      <w:r>
        <w:rPr>
          <w:rtl w:val="true"/>
        </w:rPr>
        <w:t xml:space="preserve">" </w:t>
      </w:r>
      <w:r>
        <w:rPr>
          <w:rtl w:val="true"/>
        </w:rPr>
        <w:t xml:space="preserve">דגם </w:t>
      </w:r>
      <w:r>
        <w:rPr>
          <w:rtl w:val="true"/>
        </w:rPr>
        <w:t>"</w:t>
      </w:r>
      <w:r>
        <w:rPr>
          <w:rtl w:val="true"/>
        </w:rPr>
        <w:t>קסרה</w:t>
      </w:r>
      <w:r>
        <w:rPr>
          <w:rtl w:val="true"/>
        </w:rPr>
        <w:t xml:space="preserve">"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93-732-24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הרכב</w:t>
      </w:r>
      <w:r>
        <w:rPr>
          <w:rtl w:val="true"/>
        </w:rPr>
        <w:t xml:space="preserve">"). </w:t>
      </w:r>
      <w:r>
        <w:rPr>
          <w:rtl w:val="true"/>
        </w:rPr>
        <w:t>בהינתן כי באמצעות רכב זה ביצע הנאשם את העבירות המפורטות בתיק הראשון</w:t>
      </w:r>
      <w:r>
        <w:rPr>
          <w:rtl w:val="true"/>
        </w:rPr>
        <w:t xml:space="preserve">, </w:t>
      </w:r>
      <w:r>
        <w:rPr>
          <w:rtl w:val="true"/>
        </w:rPr>
        <w:t>ובהעדר התנגדות עניינית מצד הנאשם</w:t>
      </w:r>
      <w:r>
        <w:rPr>
          <w:rtl w:val="true"/>
        </w:rPr>
        <w:t xml:space="preserve">, </w:t>
      </w:r>
      <w:r>
        <w:rPr>
          <w:rtl w:val="true"/>
        </w:rPr>
        <w:t xml:space="preserve">מכוח סמכותי לפי סעיף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פקודת סדר הדין הפלילי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מעצר וחיפוש</w:t>
      </w:r>
      <w:r>
        <w:rPr>
          <w:rtl w:val="true"/>
        </w:rPr>
        <w:t>) 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 xml:space="preserve">, </w:t>
      </w:r>
      <w:r>
        <w:rPr>
          <w:rtl w:val="true"/>
        </w:rPr>
        <w:t>אני מורה על חילוט הרכב לטובת המדינה</w:t>
      </w:r>
      <w:r>
        <w:rPr>
          <w:rtl w:val="true"/>
        </w:rPr>
        <w:t>.</w:t>
      </w:r>
    </w:p>
    <w:p>
      <w:pPr>
        <w:pStyle w:val="Style14"/>
        <w:ind w:hanging="720" w:start="720" w:end="0"/>
        <w:jc w:val="both"/>
        <w:rPr/>
      </w:pPr>
      <w:r>
        <w:rPr>
          <w:rtl w:val="true"/>
        </w:rPr>
      </w:r>
    </w:p>
    <w:p>
      <w:pPr>
        <w:pStyle w:val="Style14"/>
        <w:ind w:hanging="720" w:start="720" w:end="0"/>
        <w:jc w:val="both"/>
        <w:rPr/>
      </w:pPr>
      <w:r>
        <w:rPr>
          <w:rtl w:val="true"/>
        </w:rPr>
        <w:t xml:space="preserve">זכות ערעור לבית המשפט העליון בתוך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 והודע היום י</w:t>
      </w:r>
      <w:r>
        <w:rPr>
          <w:b/>
          <w:bCs/>
          <w:rtl w:val="true"/>
        </w:rPr>
        <w:t xml:space="preserve">'  </w:t>
      </w:r>
      <w:r>
        <w:rPr>
          <w:b/>
          <w:b/>
          <w:bCs/>
          <w:rtl w:val="true"/>
        </w:rPr>
        <w:t>אדר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04/03/2012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8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sectPr>
      <w:headerReference w:type="default" r:id="rId9"/>
      <w:footerReference w:type="default" r:id="rId10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18388-06-10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ראמי אבו אחמד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פזית"/>
    <w:basedOn w:val="Normal"/>
    <w:qFormat/>
    <w:pPr>
      <w:spacing w:lineRule="auto" w:line="36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P230_001.htm" TargetMode="External"/><Relationship Id="rId4" Type="http://schemas.openxmlformats.org/officeDocument/2006/relationships/hyperlink" Target="http://www.nevo.co.il/links/psika/?NEWPROC=&#1514;&#1508;&amp;NEWPARTA=21853&amp;NEWPARTB=02&amp;NEWPARTC=11" TargetMode="External"/><Relationship Id="rId5" Type="http://schemas.openxmlformats.org/officeDocument/2006/relationships/hyperlink" Target="http://www.nevo.co.il/links/psika/?link=&#1506;&#1508;%203361/08" TargetMode="External"/><Relationship Id="rId6" Type="http://schemas.openxmlformats.org/officeDocument/2006/relationships/hyperlink" Target="http://www.nevo.co.il/links/psika/?link=&#1512;&#1506;&#1508;%202718/04" TargetMode="External"/><Relationship Id="rId7" Type="http://schemas.openxmlformats.org/officeDocument/2006/relationships/hyperlink" Target="http://www.nevo.co.il/law_html/law01/055_128.htm" TargetMode="External"/><Relationship Id="rId8" Type="http://schemas.openxmlformats.org/officeDocument/2006/relationships/hyperlink" Target="http://www.nevo.co.il/advertisements/nevo-100.doc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2012-03-08T10:34:00Z</dcterms:created>
  <dc:creator> </dc:creator>
  <dc:description/>
  <cp:keywords/>
  <dc:language>en-IL</dc:language>
  <cp:lastModifiedBy>miri</cp:lastModifiedBy>
  <dcterms:modified xsi:type="dcterms:W3CDTF">2012-03-08T10:34:00Z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ראמי אבו אחמד;נידאל משעל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נצ'</vt:lpwstr>
  </property>
  <property fmtid="{D5CDD505-2E9C-101B-9397-08002B2CF9AE}" pid="9" name="DATE">
    <vt:lpwstr>20120304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תאופיק כתילי</vt:lpwstr>
  </property>
  <property fmtid="{D5CDD505-2E9C-101B-9397-08002B2CF9AE}" pid="13" name="LAWYER">
    <vt:lpwstr>חינאוי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18388;21853</vt:lpwstr>
  </property>
  <property fmtid="{D5CDD505-2E9C-101B-9397-08002B2CF9AE}" pid="20" name="NEWPARTB">
    <vt:lpwstr>06;02</vt:lpwstr>
  </property>
  <property fmtid="{D5CDD505-2E9C-101B-9397-08002B2CF9AE}" pid="21" name="NEWPARTC">
    <vt:lpwstr>10;</vt:lpwstr>
  </property>
  <property fmtid="{D5CDD505-2E9C-101B-9397-08002B2CF9AE}" pid="22" name="NEWPROC">
    <vt:lpwstr>תפ;תפ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ABS_DATE">
    <vt:lpwstr>390020120304</vt:lpwstr>
  </property>
  <property fmtid="{D5CDD505-2E9C-101B-9397-08002B2CF9AE}" pid="32" name="TYPE_N_DATE">
    <vt:lpwstr>39020120304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