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18402-08-13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19.02.2014</w:t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_GoBack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יהודית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2"/>
                <w:szCs w:val="22"/>
              </w:rPr>
            </w:pPr>
            <w:r>
              <w:rPr>
                <w:rFonts w:cs="FrankRuehl" w:ascii="Arial" w:hAnsi="Arial"/>
                <w:b/>
                <w:bCs/>
                <w:sz w:val="22"/>
                <w:szCs w:val="2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מודריק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18"/>
                <w:szCs w:val="18"/>
              </w:rPr>
            </w:pPr>
            <w:r>
              <w:rPr>
                <w:rFonts w:cs="FrankRuehl" w:ascii="Arial" w:hAnsi="Arial"/>
                <w:sz w:val="18"/>
                <w:szCs w:val="1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2"/>
                <w:szCs w:val="22"/>
              </w:rPr>
            </w:pPr>
            <w:r>
              <w:rPr>
                <w:rFonts w:cs="FrankRuehl" w:ascii="Arial" w:hAnsi="Arial"/>
                <w:b/>
                <w:bCs/>
                <w:sz w:val="22"/>
                <w:szCs w:val="22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ליאור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6"/>
          <w:szCs w:val="16"/>
        </w:rPr>
      </w:pPr>
      <w:r>
        <w:rPr>
          <w:rFonts w:cs="FrankRuehl" w:ascii="FrankRuehl" w:hAnsi="FrankRuehl"/>
          <w:sz w:val="16"/>
          <w:szCs w:val="1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"/>
      <w:bookmarkStart w:id="7" w:name="LawTable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עבירה של סיוע לעסקה אחרת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ביחד עם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bookmarkStart w:id="10" w:name="ABSTRACT_END"/>
      <w:bookmarkEnd w:id="10"/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 בכך שבמועד בלתי ידוע במהלך החודשים ינואר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הוא קיבל מאמיר אלמליח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חייל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אלמליח</w:t>
      </w:r>
      <w:r>
        <w:rPr>
          <w:rFonts w:cs="Arial" w:ascii="Arial" w:hAnsi="Arial"/>
          <w:b/>
          <w:bCs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חומר נפץ המכיל בתוכו חומר מסוג ציקלוניט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חור הנפץ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העביר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חומר של חומר הנפץ ביחד עם נפצים וחוט חשמל לחברו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אדם אלגזי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תמורת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אותם העביר לאלמליח כתמורה עבור חומר הנפץ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איפוא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לביצוע עסקה אחרת בנשק שיש עמה מסירת חזקה בנשק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ללא רשות כדין לעשות הפעולה האמורה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הגיעו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עתרו במשותף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להטיל על הנאשם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הוסכם כי התביעה תעתור להטלת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וההגנה תטען ביחס לרכיבים אלו באופן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 בעניין הטלת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נוכח חומרת העבירה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סיוע לאחרים לבצע עסקת מכר של חומר נפץ תוך שהנאשם משמש חוליה מקשרת שאין בלתה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 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הסכנה הנובעת מחומר הנפץ כשאין לדעת איזה אופן שימוש ייעשה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וכאשר קיים סיכון פוטנציאלי לפגיעה באזרחים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מצדיקה הטלת עונש מאסר משמעותי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כל 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ציינה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המאשימה שקלה את הודאתו המהירה של הנאשם ונטילת האחריות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היעדר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היא עותרת רק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 התביעה יש מקום להטיל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מרתיע שיהיה תלוי כחרב מהפכת מעל ראשו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הקנס המבוקש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ידה כרכיב ענישה אמור להרתיעו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עתרה אף היא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 בעניין עונש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הדגישה כי מרשה איננו העבריין העיקרי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היה היוזם או המתכנן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ועבור התיווך שביצע הוא לא קיבל כל תמורה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הוסיפה 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כתוצאה מהאירוע נשוא כתב האישום דנן לא נגרם בסופו של יום כל נזק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באשר להטלת הקנס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היא עתרה שלא יוטל עליו כל עונש כלכלי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משפחתו נאבקת בקשיי פרנסה ובעיות בריאותיות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ועול הקנס ייפול על כתפיה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הנאשם יישלח למאסר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הטלת קנס יכולה אף להביא לכך שהנאשם ייאלץ להתמודד עם חוב שיתפח במהלך מאסרו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הדגישה כי למרשה לא הייתה כל מודעות לאשר התרחש בסופו של דבר עם חומר הנפץ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 בענישה של מאסר שתוטל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צורך להוסיף עליה רכיבי ענישה 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הפנתה לאסופת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מי שהורשע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הודאתו בניסיון לסחר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בצד סחר בסמים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וניסה למכור אקדח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תקין ושאינו טעון רישוי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לסוכנת משטרתית סמויה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ושירות המבחן נמנע מהמלצה טיפולית בעניינו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נדון לעונש מאסר בן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1601-08-09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אמיר סגס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27.1.07</w:t>
      </w:r>
      <w:r>
        <w:rPr>
          <w:rFonts w:cs="Arial" w:ascii="Arial" w:hAnsi="Arial"/>
          <w:rtl w:val="true"/>
        </w:rPr>
        <w:t>]).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116/13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מאור וקנין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31.7.13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הורשע נאשם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 בהובלת מטען חבלה מאולתר ופגז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ואלו נמסרו לעבריין תמורת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אף שם הוסכם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נציגת המדינה שהמערער איננו העבריין העיקרי באותה 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הנאשם אחר באותה פרשה שהורשע בעבירה זהה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[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] </w:t>
        </w:r>
        <w:r>
          <w:rPr>
            <w:rStyle w:val="Hyperlink"/>
            <w:rFonts w:cs="Arial" w:ascii="Arial" w:hAnsi="Arial"/>
            <w:color w:val="0000FF"/>
            <w:u w:val="single"/>
          </w:rPr>
          <w:t>4168/05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עבדאללה אבו סמרה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30.4.06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הורשעו נאשמים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הודאתם בכך שקשרו קשר לפוצץ רכב של אחר על רקע סכסוך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הרכיבו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ואחד מהם בדק את תקינות פעילותו והצית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שהחלה האש לבעור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כיבו את האש והשליכו את בלון הגז מחוץ לדירתם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נדונו במסגרת הסדר טיעון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ab/>
        <w:t xml:space="preserve">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נשא דברו וטען כי הוא הודה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מקבל עליו את העונש שיוטל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לשאלות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לא הצליח הנאשם להסביר לא לעצמו ולא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הכיצד פעל כפי שפעל על אף שלא קיבל כל תמורה ולמרות ששירת שירות צבאי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טובה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מסוג זה לחבר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אין צורך להכביר במילים לגבי עבירות הקשורות לחומר נפץ ונשק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ניתן להמעיט מחומרתן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אלו מסכנות את שלומו וביטחונו של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חומרתן אינה מסתכמת רק במה שאירע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בסיכון הפוטנציאלי הטמון בחומר המגיע לידיים עוינות או לידיים עברייניות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ואלו אינן מהססות להשתמש בו מבלי להתחשב במה שיקרה לאזרחים תמימים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שציינתי בהחלטתי המורה על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קשר בין הנאשם שבפני ובין הגורמים הנוספים אליהם התגלגל חומר הנפץ מאדם אלגזי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עבר פלילי והוא לא קיבל תמורה עבור המעשה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שבפני הינו הראשון המודה בפרשה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במסגרת הסדר טיעון לפיו תוקן כתב האישום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המרת העבירה מ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עשיית עסקה בנשק 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סיוע לעשיית עסקה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מחצית העונש הקבוע בחוק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הגיעו להסדר טיעון לעניין עונש המאסר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הבניית שיקול הדעת השיפוטי בענישה</w:t>
      </w:r>
      <w:r>
        <w:rPr>
          <w:rFonts w:cs="Arial" w:ascii="Arial" w:hAnsi="Arial"/>
          <w:b/>
          <w:bCs/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עסקינן בהסדר טיעון הכולל הסכמה על ענישה מוסכמת המוצעת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קבע במפורש מהו היחס הראוי שבין מתחם הענישה לבין הסדרי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ונושא זה הושאר מחוץ לתיקון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מנת שילובן ויגובש במסגרת החוק שיעסוק בהסדרי טיעון ככאלה ונמצא עתה בדיונים בפני ועדת חוקה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חוק ומשפט של הכנסת על בסיס הצעת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סדר הדין הפלילי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הסדר טיעון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היחס שבין מנגנון גזירת העונש שנקבע במסגרת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לבין המנגנון הדיוני של הסדרי הטיעון נדון 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512/13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30.9.13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משם נלמד כי מדובר בשני מנגנונים מקבילים בעיקרם שבבסיס כל אחד יסודות ייחודיים לו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2160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הסדר טיעון במסגרתו נקבע לעתים טווח ענישה מוסכם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הינו הסכם בין רשויות התביעה לבין 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בית המשפט איננו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כידוע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צד להסכם זה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הסדר טיעון מביא לידי ביטוי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שיקולי רשויות התביעה כגון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אינטרס הציבור בענישה הולמת ומהירה למעשי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חסכון במשאבים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קשיים ראייתיים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נסיבות ספציפיות לקולא וכו</w:t>
      </w:r>
      <w:r>
        <w:rPr>
          <w:rFonts w:cs="Arial" w:ascii="Arial" w:hAnsi="Arial"/>
          <w:b/>
          <w:bCs/>
          <w:rtl w:val="true"/>
        </w:rPr>
        <w:t xml:space="preserve">'. </w:t>
      </w:r>
      <w:r>
        <w:rPr>
          <w:rFonts w:ascii="Arial" w:hAnsi="Arial" w:cs="Arial"/>
          <w:b/>
          <w:b/>
          <w:bCs/>
          <w:rtl w:val="true"/>
        </w:rPr>
        <w:t>אל מול שיקולים אלו של רשויות התביעה עומדים שיקוליו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המגיע להסדר עם רשויות התביעה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בין השאר בשל הרצון להביא להפחתה באישומים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כדי להביא להקלה בעונש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כדי להימנע מניהול הליך ארוך ויקר שלא לצורך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אין מדובר בהכרח ברשימה ממצה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אך ליבת העניין ברורה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שני הצדדים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כל אחד משיקוליו שלו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מגיע להסדר עם הצד השני כדי לקדם את האינטרסים הנראים חשובים בעיניו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נכון הוא כי להסדר טיעון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כהסכם המסדיר הרשעה בפלילים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מאפיינים יחודיים בהשוואה לחוזים אחרים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אך במהות מדובר בהסכמה בין מי שהם צדדים לדיון משפטי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המאפיינים המיוחדים שיש בכך לנוכח השיטה המשפטית הרלבנטית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לראיה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השכיחות הגבוהה של הסדרי טיעון מאפיינת בעיקר שיטות משפט אדברסריות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בהן הכוח הנתון לצדדים להשפיע על התנהלות ההליך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גדול יותר באופן יחסי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השופט מלצר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זה נאמר 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2160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טווח ענישה מוסכם במסגרת הסדר טיעון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שונה ממתחם הענישה בשני מובנים עיקריים 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2880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ברמה המבנית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טווח ענישה מוסכם בהסדר טיעון נקבע על ידי הצדדים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בעוד שמתחם ענישה נקבע על ידי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בעקבות הנחיות המחוקק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2880" w:end="72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)</w:t>
        <w:tab/>
      </w:r>
      <w:r>
        <w:rPr>
          <w:rFonts w:ascii="Arial" w:hAnsi="Arial" w:cs="Arial"/>
          <w:b/>
          <w:b/>
          <w:bCs/>
          <w:rtl w:val="true"/>
        </w:rPr>
        <w:t xml:space="preserve">ברמה המהותית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טווח ענישה מוסכם בהסדר טיעון הוא תוצאה של מיצוי כוח המיקוח של כל אחד מהצדדים להליך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בשים לב לכלל נסיבות התיק ולכן הוא משקף בעיקר את האינטרסים המידיים של שני הצדדים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תוך התחשבות בעובדה כי רשויות התביעה מייצגות אינטרס ציבורי רחב יותר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12-13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פועל יוצא מכל האמור לעיל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2160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 xml:space="preserve">כאשר נקבע טווח ענישה מוסכם בהסדר טיעון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בו בעת שמתחם הענישה רחב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כמובן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יותר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cs="Arial" w:ascii="Arial" w:hAnsi="Arial"/>
          <w:b/>
          <w:bCs/>
          <w:rtl w:val="true"/>
        </w:rPr>
        <w:t>–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עדיין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הוא מקבל את הסדר הטיעון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צריך לפסוק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ככלל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במסגרת טווח הענישה המוסכם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עד גבול קצוותיו</w:t>
      </w:r>
      <w:r>
        <w:rPr>
          <w:rFonts w:cs="Arial" w:ascii="Arial" w:hAnsi="Arial"/>
          <w:b/>
          <w:bCs/>
          <w:rtl w:val="true"/>
        </w:rPr>
        <w:t xml:space="preserve">), </w:t>
      </w:r>
      <w:r>
        <w:rPr>
          <w:rFonts w:ascii="Arial" w:hAnsi="Arial" w:cs="Arial"/>
          <w:b/>
          <w:b/>
          <w:bCs/>
          <w:rtl w:val="true"/>
        </w:rPr>
        <w:t>ולא בהטיה כלשהי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רצפה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או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תקרה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שמעבר 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המותווים במתחם הענישה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ששקלתי את הטיעונים לחומרא לעומת השיקולים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למסקנה שבמסגרת הסדר הטיעון בתיק דנן לא נפגע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מטילה על הנאשם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  <w:t xml:space="preserve">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6.8.2013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העבירה בה הורשע או כל עבירה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מאחר והטלת קנס תוטל על שכמה של משפחת הנאשם ולא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הוא נשלח למאסר בפועל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החלטתי שלא יוטל קנס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אבל הוא יחתום על התחייבות בסך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להימנע מביצוע 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תוך שנתיים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לא תיחתם ההתחייבות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ייאסר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 לנאשם על זכותו לערער על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   </w:t>
      </w:r>
    </w:p>
    <w:tbl>
      <w:tblPr>
        <w:tblpPr w:vertAnchor="page" w:horzAnchor="page" w:leftFromText="180" w:rightFromText="180" w:tblpX="1292" w:tblpY="763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bidi w:val="0"/>
        <w:jc w:val="center"/>
        <w:rPr>
          <w:rFonts w:ascii="Arial" w:hAnsi="Arial" w:cs="FrankRuehl"/>
          <w:sz w:val="28"/>
          <w:szCs w:val="28"/>
        </w:rPr>
      </w:pPr>
      <w:r/>
      <w:r>
        <w:rPr>
          <w:rFonts w:cs="FrankRuehl" w:ascii="Arial" w:hAnsi="Arial"/>
          <w:sz w:val="28"/>
          <w:szCs w:val="28"/>
        </w:rPr>
        <w:tab/>
        <w:tab/>
        <w:tab/>
        <w:tab/>
        <w:tab/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bidi w:val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bidi w:val="0"/>
        <w:jc w:val="start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</w:r>
    </w:p>
    <w:p>
      <w:pPr>
        <w:pStyle w:val="Normal"/>
        <w:tabs>
          <w:tab w:val="clear" w:pos="720"/>
          <w:tab w:val="left" w:pos="7680" w:leader="none"/>
        </w:tabs>
        <w:bidi w:val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</w:rPr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18402-08-13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ליאור מנשה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inks/psika/?NEWPROC=&#1514;&#1508;&amp;NEWPARTA=1601&amp;NEWPARTB=08&amp;NEWPARTC=09" TargetMode="External"/><Relationship Id="rId10" Type="http://schemas.openxmlformats.org/officeDocument/2006/relationships/hyperlink" Target="http://www.nevo.co.il/links/psika/?link=&#1506;&#1508;%20116/13" TargetMode="External"/><Relationship Id="rId11" Type="http://schemas.openxmlformats.org/officeDocument/2006/relationships/hyperlink" Target="http://www.nevo.co.il/links/psika/?link=&#1514;&#1508;%204168/0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inks/psika/?link=&#1506;&#1508;%20512/13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2014-02-23T13:26:00Z</dcterms:created>
  <dc:creator> </dc:creator>
  <dc:description/>
  <cp:keywords/>
  <dc:language>en-IL</dc:language>
  <cp:lastModifiedBy>hofit</cp:lastModifiedBy>
  <dcterms:modified xsi:type="dcterms:W3CDTF">2014-02-23T13:26:00Z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ליאור מנשה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20140219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יהודית אמסטרדם</vt:lpwstr>
  </property>
  <property fmtid="{D5CDD505-2E9C-101B-9397-08002B2CF9AE}" pid="13" name="LAWLISTTMP1">
    <vt:lpwstr>70301/144.b2;031;144</vt:lpwstr>
  </property>
  <property fmtid="{D5CDD505-2E9C-101B-9397-08002B2CF9AE}" pid="14" name="LAWYER">
    <vt:lpwstr>רוני מודריק;אורית חיון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18402</vt:lpwstr>
  </property>
  <property fmtid="{D5CDD505-2E9C-101B-9397-08002B2CF9AE}" pid="21" name="NEWPARTB">
    <vt:lpwstr>08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390020140219</vt:lpwstr>
  </property>
  <property fmtid="{D5CDD505-2E9C-101B-9397-08002B2CF9AE}" pid="33" name="TYPE_N_DATE">
    <vt:lpwstr>39020140219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