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61"/>
        <w:gridCol w:w="428"/>
        <w:gridCol w:w="1368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19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18409-01-09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שנדי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6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  <w:vanish/>
          <w:u w:val="single"/>
        </w:rPr>
      </w:pPr>
      <w:r>
        <w:rPr>
          <w:rFonts w:eastAsia="Times New Roman" w:cs="Times New Roman" w:ascii="Times New Roman" w:hAnsi="Times New Roman"/>
          <w:b/>
          <w:bCs/>
          <w:vanish/>
          <w:u w:val="single"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הלאל אבו שנדי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אולגה שיינמן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אדלה מוחמד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ABSTRACT_START"/>
      <w:bookmarkStart w:id="9" w:name="PsakDin"/>
      <w:bookmarkEnd w:id="8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bookmarkStart w:id="10" w:name="PsakDin"/>
      <w:bookmarkEnd w:id="10"/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 להודיית הנאשם בעובדות כתב האישום</w:t>
      </w:r>
      <w:r>
        <w:rPr>
          <w:rtl w:val="true"/>
        </w:rPr>
        <w:t xml:space="preserve">, </w:t>
      </w:r>
      <w:r>
        <w:rPr>
          <w:rtl w:val="true"/>
        </w:rPr>
        <w:t>הרשעתי אותו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דהיינו בעבירות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החזקת נשק ותחמושת –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נשיאת נשק –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מכתב האישום ומהודיית הנאשם עולה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בתאריך </w:t>
      </w:r>
      <w:r>
        <w:rPr/>
        <w:t>24/1/09</w:t>
      </w:r>
      <w:r>
        <w:rPr>
          <w:rtl w:val="true"/>
        </w:rPr>
        <w:t xml:space="preserve"> </w:t>
      </w:r>
      <w:r>
        <w:rPr>
          <w:rtl w:val="true"/>
        </w:rPr>
        <w:t>החזיק הנאשם</w:t>
      </w:r>
      <w:r>
        <w:rPr>
          <w:rtl w:val="true"/>
        </w:rPr>
        <w:t xml:space="preserve">, </w:t>
      </w:r>
      <w:r>
        <w:rPr>
          <w:rtl w:val="true"/>
        </w:rPr>
        <w:t>בלא רשות 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אקדח מסוג </w:t>
      </w:r>
      <w:r>
        <w:rPr>
          <w:rtl w:val="true"/>
        </w:rPr>
        <w:t>"</w:t>
      </w:r>
      <w:r>
        <w:rPr>
          <w:rtl w:val="true"/>
        </w:rPr>
        <w:t>טנפוליו</w:t>
      </w:r>
      <w:r>
        <w:rPr>
          <w:rtl w:val="true"/>
        </w:rPr>
        <w:t>" (</w:t>
      </w:r>
      <w:r>
        <w:rPr/>
        <w:t>TANFOGLIO</w:t>
      </w:r>
      <w:r>
        <w:rPr>
          <w:rtl w:val="true"/>
        </w:rPr>
        <w:t xml:space="preserve">),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כדורי אקדח בקוטר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ומחסנית התואמת לאקדח ולכדורים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בתאריך </w:t>
      </w:r>
      <w:r>
        <w:rPr/>
        <w:t>24/1/09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נתפס הנאשם בכפר קרע כשהוא נושא את 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הינו רווק כבן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בכיתה י</w:t>
      </w:r>
      <w:r>
        <w:rPr>
          <w:rtl w:val="true"/>
        </w:rPr>
        <w:t>"</w:t>
      </w:r>
      <w:r>
        <w:rPr>
          <w:rtl w:val="true"/>
        </w:rPr>
        <w:t>ב עזב את ביה</w:t>
      </w:r>
      <w:r>
        <w:rPr>
          <w:rtl w:val="true"/>
        </w:rPr>
        <w:t>"</w:t>
      </w:r>
      <w:r>
        <w:rPr>
          <w:rtl w:val="true"/>
        </w:rPr>
        <w:t>ס בשל בעיה רפואית</w:t>
      </w:r>
      <w:r>
        <w:rPr>
          <w:rtl w:val="true"/>
        </w:rPr>
        <w:t xml:space="preserve">, </w:t>
      </w:r>
      <w:r>
        <w:rPr>
          <w:rtl w:val="true"/>
        </w:rPr>
        <w:t>שמאז לדבריו</w:t>
      </w:r>
      <w:r>
        <w:rPr>
          <w:rtl w:val="true"/>
        </w:rPr>
        <w:t xml:space="preserve">, </w:t>
      </w:r>
      <w:r>
        <w:rPr>
          <w:rtl w:val="true"/>
        </w:rPr>
        <w:t>פוגמת בתפקודו ומגבילה אותו בביצוע עבודות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עד למעורבותו בעבירות הנידונות</w:t>
      </w:r>
      <w:r>
        <w:rPr>
          <w:rtl w:val="true"/>
        </w:rPr>
        <w:t xml:space="preserve">, </w:t>
      </w:r>
      <w:r>
        <w:rPr>
          <w:rtl w:val="true"/>
        </w:rPr>
        <w:t>הוא חי חיים 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 לעבירות</w:t>
      </w:r>
      <w:r>
        <w:rPr>
          <w:rtl w:val="true"/>
        </w:rPr>
        <w:t xml:space="preserve">, </w:t>
      </w:r>
      <w:r>
        <w:rPr>
          <w:rtl w:val="true"/>
        </w:rPr>
        <w:t>ציין הנאשם כי מצא את הנשק והמחסנית זרוקים ברחוב</w:t>
      </w:r>
      <w:r>
        <w:rPr>
          <w:rtl w:val="true"/>
        </w:rPr>
        <w:t xml:space="preserve">, </w:t>
      </w:r>
      <w:r>
        <w:rPr>
          <w:rtl w:val="true"/>
        </w:rPr>
        <w:t>ונטל אותם על מנת למוסרם למשטרה</w:t>
      </w:r>
      <w:r>
        <w:rPr>
          <w:rtl w:val="true"/>
        </w:rPr>
        <w:t xml:space="preserve">. </w:t>
      </w:r>
      <w:r>
        <w:rPr>
          <w:rtl w:val="true"/>
        </w:rPr>
        <w:t>באופן מקרי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נעצר על ידי שוטרים בדרכו למשטרה והפך מאדם שומר חוק למבצע עבירה</w:t>
      </w:r>
      <w:r>
        <w:rPr>
          <w:rtl w:val="true"/>
        </w:rPr>
        <w:t xml:space="preserve">. </w:t>
      </w:r>
      <w:r>
        <w:rPr>
          <w:rtl w:val="true"/>
        </w:rPr>
        <w:t>מעורבותו בעבירות הנידונות זרה לו ושהייתו בבית המעצר גרמה לו לתחושת השפלה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 דשירות המבחן</w:t>
      </w:r>
      <w:r>
        <w:rPr>
          <w:rtl w:val="true"/>
        </w:rPr>
        <w:t xml:space="preserve">, </w:t>
      </w:r>
      <w:r>
        <w:rPr>
          <w:rtl w:val="true"/>
        </w:rPr>
        <w:t>מדובר בבחור צעיר</w:t>
      </w:r>
      <w:r>
        <w:rPr>
          <w:rtl w:val="true"/>
        </w:rPr>
        <w:t xml:space="preserve">,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מרצה</w:t>
      </w:r>
      <w:r>
        <w:rPr>
          <w:rtl w:val="true"/>
        </w:rPr>
        <w:t xml:space="preserve">, </w:t>
      </w:r>
      <w:r>
        <w:rPr>
          <w:rtl w:val="true"/>
        </w:rPr>
        <w:t>בעל קושי לשתף מעולמו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הבין את משמעות החזקת הנשק וידע כי העניין אסור על פי 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נעדר עבר פלילי ומנהל</w:t>
      </w:r>
      <w:r>
        <w:rPr>
          <w:rtl w:val="true"/>
        </w:rPr>
        <w:t xml:space="preserve">,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>אורח חיים נורמטיבי</w:t>
      </w:r>
      <w:r>
        <w:rPr>
          <w:rtl w:val="true"/>
        </w:rPr>
        <w:t xml:space="preserve">. </w:t>
      </w:r>
      <w:r>
        <w:rPr>
          <w:rtl w:val="true"/>
        </w:rPr>
        <w:t>בתקופת שהייתו ב</w:t>
      </w:r>
      <w:r>
        <w:rPr>
          <w:rtl w:val="true"/>
        </w:rPr>
        <w:t>"</w:t>
      </w:r>
      <w:r>
        <w:rPr>
          <w:rtl w:val="true"/>
        </w:rPr>
        <w:t>מעצר בית</w:t>
      </w:r>
      <w:r>
        <w:rPr>
          <w:rtl w:val="true"/>
        </w:rPr>
        <w:t xml:space="preserve">", </w:t>
      </w:r>
      <w:r>
        <w:rPr>
          <w:rtl w:val="true"/>
        </w:rPr>
        <w:t>לא נצפו חריגות או הפרת תנאים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מדובר באדם שמעד</w:t>
      </w:r>
      <w:r>
        <w:rPr>
          <w:rtl w:val="true"/>
        </w:rPr>
        <w:t xml:space="preserve">, </w:t>
      </w:r>
      <w:r>
        <w:rPr>
          <w:rtl w:val="true"/>
        </w:rPr>
        <w:t>אולם מתקשה להצהיר על אחריותו ומעורבותו בביצוע העבירות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נראה כי הוא אינו מבטא נכונות לשתף</w:t>
      </w:r>
      <w:r>
        <w:rPr>
          <w:rtl w:val="true"/>
        </w:rPr>
        <w:t xml:space="preserve">, </w:t>
      </w:r>
      <w:r>
        <w:rPr>
          <w:rtl w:val="true"/>
        </w:rPr>
        <w:t>באופן גלוי</w:t>
      </w:r>
      <w:r>
        <w:rPr>
          <w:rtl w:val="true"/>
        </w:rPr>
        <w:t xml:space="preserve">, </w:t>
      </w:r>
      <w:r>
        <w:rPr>
          <w:rtl w:val="true"/>
        </w:rPr>
        <w:t>בנסיבות שהובילוהו להחזקת הנשק וניכר כי הוא חושש מחשיפת פרטים 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 לעבירות שעבר</w:t>
      </w:r>
      <w:r>
        <w:rPr>
          <w:rtl w:val="true"/>
        </w:rPr>
        <w:t xml:space="preserve">, </w:t>
      </w:r>
      <w:r>
        <w:rPr>
          <w:rtl w:val="true"/>
        </w:rPr>
        <w:t>ניתן לראות התנהגות מניפולטיבית מגמתית מצידו</w:t>
      </w:r>
      <w:r>
        <w:rPr>
          <w:rtl w:val="true"/>
        </w:rPr>
        <w:t xml:space="preserve">, </w:t>
      </w:r>
      <w:r>
        <w:rPr>
          <w:rtl w:val="true"/>
        </w:rPr>
        <w:t>ולאור כל זאת עולה החשש להישנות התנהגות עבריינית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לא ביטא בפני שירות המבחן נזקקות טיפולית כלשהיא</w:t>
      </w:r>
      <w:r>
        <w:rPr>
          <w:rtl w:val="true"/>
        </w:rPr>
        <w:t xml:space="preserve">, </w:t>
      </w:r>
      <w:r>
        <w:rPr>
          <w:rtl w:val="true"/>
        </w:rPr>
        <w:t>ובשל כך לא ניתנה 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לא זאת אף זאת</w:t>
      </w:r>
      <w:r>
        <w:rPr>
          <w:rtl w:val="true"/>
        </w:rPr>
        <w:t xml:space="preserve">, </w:t>
      </w:r>
      <w:r>
        <w:rPr>
          <w:rtl w:val="true"/>
        </w:rPr>
        <w:t>שירות המבחן המליץ להטיל על הנאשם ענישה מוחשית בצורת מאסר בפועל או ריצוי עבודות שירות</w:t>
      </w:r>
      <w:r>
        <w:rPr>
          <w:rtl w:val="true"/>
        </w:rPr>
        <w:t xml:space="preserve">, </w:t>
      </w:r>
      <w:r>
        <w:rPr>
          <w:rtl w:val="true"/>
        </w:rPr>
        <w:t>אשר תהיה שקולה לחומרת מעשיו ותהווה עונש הרתעתי להישנות מקרים דומים 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לענין 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מטעם הנאשם העיד מר </w:t>
      </w:r>
      <w:r>
        <w:rPr>
          <w:u w:val="single"/>
          <w:rtl w:val="true"/>
        </w:rPr>
        <w:t>יהודה ארטיז</w:t>
      </w:r>
      <w:r>
        <w:rPr>
          <w:rtl w:val="true"/>
        </w:rPr>
        <w:t xml:space="preserve">, </w:t>
      </w:r>
      <w:r>
        <w:rPr>
          <w:rtl w:val="true"/>
        </w:rPr>
        <w:t>ששימש כמעסיקו של הנאשם במשך שנה וחצי</w:t>
      </w:r>
      <w:r>
        <w:rPr>
          <w:rtl w:val="true"/>
        </w:rPr>
        <w:t xml:space="preserve">. </w:t>
      </w:r>
      <w:r>
        <w:rPr>
          <w:rtl w:val="true"/>
        </w:rPr>
        <w:t>הוא מסר כי הנאשם הנו עובד נאמן ושקט</w:t>
      </w:r>
      <w:r>
        <w:rPr>
          <w:rtl w:val="true"/>
        </w:rPr>
        <w:t xml:space="preserve">, </w:t>
      </w:r>
      <w:r>
        <w:rPr>
          <w:rtl w:val="true"/>
        </w:rPr>
        <w:t>והוא מוכן לקבלו שוב לעבודה לאחר שיסיים לרצות 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כמו כן העיד מר </w:t>
      </w:r>
      <w:r>
        <w:rPr>
          <w:u w:val="single"/>
          <w:rtl w:val="true"/>
        </w:rPr>
        <w:t>אבו שנדי עלי</w:t>
      </w:r>
      <w:r>
        <w:rPr>
          <w:rtl w:val="true"/>
        </w:rPr>
        <w:t xml:space="preserve">, </w:t>
      </w:r>
      <w:r>
        <w:rPr>
          <w:rtl w:val="true"/>
        </w:rPr>
        <w:t>אביו של הנאשם</w:t>
      </w:r>
      <w:r>
        <w:rPr>
          <w:rtl w:val="true"/>
        </w:rPr>
        <w:t xml:space="preserve">. </w:t>
      </w:r>
      <w:r>
        <w:rPr>
          <w:rtl w:val="true"/>
        </w:rPr>
        <w:t>העד סיפר כי הופתע מהסתבכותו של בנו</w:t>
      </w:r>
      <w:r>
        <w:rPr>
          <w:rtl w:val="true"/>
        </w:rPr>
        <w:t xml:space="preserve">, </w:t>
      </w:r>
      <w:r>
        <w:rPr>
          <w:rtl w:val="true"/>
        </w:rPr>
        <w:t>והדבר מקשה על המשפחה</w:t>
      </w:r>
      <w:r>
        <w:rPr>
          <w:rtl w:val="true"/>
        </w:rPr>
        <w:t xml:space="preserve">. </w:t>
      </w:r>
      <w:r>
        <w:rPr>
          <w:rtl w:val="true"/>
        </w:rPr>
        <w:t>עוד העיד</w:t>
      </w:r>
      <w:r>
        <w:rPr>
          <w:rtl w:val="true"/>
        </w:rPr>
        <w:t xml:space="preserve">, </w:t>
      </w:r>
      <w:r>
        <w:rPr>
          <w:rtl w:val="true"/>
        </w:rPr>
        <w:t>כי על פי החלטת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היה הנאשם רשאי לצאת מ</w:t>
      </w:r>
      <w:r>
        <w:rPr>
          <w:rtl w:val="true"/>
        </w:rPr>
        <w:t>"</w:t>
      </w:r>
      <w:r>
        <w:rPr>
          <w:rtl w:val="true"/>
        </w:rPr>
        <w:t>מעצר הבית</w:t>
      </w:r>
      <w:r>
        <w:rPr>
          <w:rtl w:val="true"/>
        </w:rPr>
        <w:t xml:space="preserve">" </w:t>
      </w:r>
      <w:r>
        <w:rPr>
          <w:rtl w:val="true"/>
        </w:rPr>
        <w:t>לעבודתו</w:t>
      </w:r>
      <w:r>
        <w:rPr>
          <w:rtl w:val="true"/>
        </w:rPr>
        <w:t xml:space="preserve">, </w:t>
      </w:r>
      <w:r>
        <w:rPr>
          <w:rtl w:val="true"/>
        </w:rPr>
        <w:t xml:space="preserve">אך הוא ואשתו לא הסכימו להקלה בתנאי </w:t>
      </w:r>
      <w:r>
        <w:rPr>
          <w:rtl w:val="true"/>
        </w:rPr>
        <w:t>"</w:t>
      </w:r>
      <w:r>
        <w:rPr>
          <w:rtl w:val="true"/>
        </w:rPr>
        <w:t>מעצר הבית</w:t>
      </w:r>
      <w:r>
        <w:rPr>
          <w:rtl w:val="true"/>
        </w:rPr>
        <w:t xml:space="preserve">", </w:t>
      </w:r>
      <w:r>
        <w:rPr>
          <w:rtl w:val="true"/>
        </w:rPr>
        <w:t>על מנת שהבן יפיק הלקח הנדרש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עמדה על חומרת העבירה והסיכון הנובע ממנה</w:t>
      </w:r>
      <w:r>
        <w:rPr>
          <w:rtl w:val="true"/>
        </w:rPr>
        <w:t xml:space="preserve">, </w:t>
      </w:r>
      <w:r>
        <w:rPr>
          <w:rtl w:val="true"/>
        </w:rPr>
        <w:t>ועל הענישה החמורה המתחייבת בגינה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אין מקובלת עליה גרסת הנאשם במשטרה</w:t>
      </w:r>
      <w:r>
        <w:rPr>
          <w:rtl w:val="true"/>
        </w:rPr>
        <w:t xml:space="preserve">, </w:t>
      </w:r>
      <w:r>
        <w:rPr>
          <w:rtl w:val="true"/>
        </w:rPr>
        <w:t>כי התכוון להפקיד הנשק במשטרה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לדעת התביעה</w:t>
      </w:r>
      <w:r>
        <w:rPr>
          <w:rtl w:val="true"/>
        </w:rPr>
        <w:t xml:space="preserve">, </w:t>
      </w:r>
      <w:r>
        <w:rPr>
          <w:rtl w:val="true"/>
        </w:rPr>
        <w:t>מקומו של הנאשם הנו מאחורי סורג ובריח לתקופה משמעותית</w:t>
      </w:r>
      <w:r>
        <w:rPr>
          <w:rtl w:val="true"/>
        </w:rPr>
        <w:t xml:space="preserve">, </w:t>
      </w:r>
      <w:r>
        <w:rPr>
          <w:rtl w:val="true"/>
        </w:rPr>
        <w:t xml:space="preserve">וכן יש </w:t>
      </w:r>
      <w:r>
        <w:rPr>
          <w:rtl w:val="true"/>
        </w:rPr>
        <w:tab/>
      </w:r>
      <w:r>
        <w:rPr>
          <w:rtl w:val="true"/>
        </w:rPr>
        <w:t>להטיל עליו מאסר מותנה 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עמד על גילו הצעיר של מרשו ועל היותו בחור נורמטיבי ללא עבר פלילי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מרשו מצא האקדח ביום מעצרו כשעתיים לפני מעצרו והתכוון למסרו למשטרה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מרוב התלהבות</w:t>
      </w:r>
      <w:r>
        <w:rPr>
          <w:rtl w:val="true"/>
        </w:rPr>
        <w:t xml:space="preserve">" </w:t>
      </w:r>
      <w:r>
        <w:rPr>
          <w:rtl w:val="true"/>
        </w:rPr>
        <w:t>שכח</w:t>
      </w:r>
      <w:r>
        <w:rPr>
          <w:rtl w:val="true"/>
        </w:rPr>
        <w:t xml:space="preserve">, </w:t>
      </w:r>
      <w:r>
        <w:rPr>
          <w:rtl w:val="true"/>
        </w:rPr>
        <w:t>טעה ולא התקשר 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ציין כי משפחת הנאשם היא נורמטיבית ולפיכך החליטו הורי הנאשם ל</w:t>
      </w:r>
      <w:r>
        <w:rPr>
          <w:rtl w:val="true"/>
        </w:rPr>
        <w:t>"</w:t>
      </w:r>
      <w:r>
        <w:rPr>
          <w:rtl w:val="true"/>
        </w:rPr>
        <w:t>הענישו</w:t>
      </w:r>
      <w:r>
        <w:rPr>
          <w:rtl w:val="true"/>
        </w:rPr>
        <w:t xml:space="preserve">" </w:t>
        <w:tab/>
      </w:r>
      <w:r>
        <w:rPr>
          <w:rtl w:val="true"/>
        </w:rPr>
        <w:t>וחרף החלטת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,</w:t>
      </w:r>
      <w:r>
        <w:rPr>
          <w:rtl w:val="true"/>
        </w:rPr>
        <w:t>להתיר לנאשם לצאת מ</w:t>
      </w:r>
      <w:r>
        <w:rPr>
          <w:rtl w:val="true"/>
        </w:rPr>
        <w:t>"</w:t>
      </w:r>
      <w:r>
        <w:rPr>
          <w:rtl w:val="true"/>
        </w:rPr>
        <w:t>מעצר הבית</w:t>
      </w:r>
      <w:r>
        <w:rPr>
          <w:rtl w:val="true"/>
        </w:rPr>
        <w:t xml:space="preserve">"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 xml:space="preserve">החליטו הוריו כי </w:t>
      </w:r>
      <w:r>
        <w:rPr>
          <w:rtl w:val="true"/>
        </w:rPr>
        <w:tab/>
      </w:r>
      <w:r>
        <w:rPr>
          <w:rtl w:val="true"/>
        </w:rPr>
        <w:t>הלה ישאר ב</w:t>
      </w:r>
      <w:r>
        <w:rPr>
          <w:rtl w:val="true"/>
        </w:rPr>
        <w:t>"</w:t>
      </w:r>
      <w:r>
        <w:rPr>
          <w:rtl w:val="true"/>
        </w:rPr>
        <w:t>מעצר בית מלא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ציין הסנגור</w:t>
      </w:r>
      <w:r>
        <w:rPr>
          <w:rtl w:val="true"/>
        </w:rPr>
        <w:t xml:space="preserve">, </w:t>
      </w:r>
      <w:r>
        <w:rPr>
          <w:rtl w:val="true"/>
        </w:rPr>
        <w:t>כי מרשו הודה במיוחס לו כבר בחקירתו ובבית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כי אסתפק בהטלת עונש של מאסר בעבודת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 האחרון</w:t>
      </w:r>
      <w:r>
        <w:rPr>
          <w:u w:val="single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הביע צערו על הסתבכותו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 אחד מב</w:t>
      </w:r>
      <w:r>
        <w:rPr>
          <w:rtl w:val="true"/>
        </w:rPr>
        <w:t>"</w:t>
      </w:r>
      <w:r>
        <w:rPr>
          <w:rtl w:val="true"/>
        </w:rPr>
        <w:t>כ הצדדים הפנה אותי לפסיקה</w:t>
      </w:r>
      <w:r>
        <w:rPr>
          <w:rtl w:val="true"/>
        </w:rPr>
        <w:t xml:space="preserve">,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לדעתו בעמדתו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 של החזקת נשק שלא כדין היא עבירה חמורה</w:t>
      </w:r>
      <w:r>
        <w:rPr>
          <w:rtl w:val="true"/>
        </w:rPr>
        <w:t xml:space="preserve">, </w:t>
      </w:r>
      <w:r>
        <w:rPr>
          <w:rtl w:val="true"/>
        </w:rPr>
        <w:t>בשל הסיכון הפוטנציאלי הגלום בה</w:t>
      </w:r>
      <w:r>
        <w:rPr>
          <w:rtl w:val="true"/>
        </w:rPr>
        <w:t xml:space="preserve">. </w:t>
      </w:r>
      <w:r>
        <w:rPr>
          <w:rtl w:val="true"/>
        </w:rPr>
        <w:t>נשק נועד להחזקה ע</w:t>
      </w:r>
      <w:r>
        <w:rPr>
          <w:rtl w:val="true"/>
        </w:rPr>
        <w:t>"</w:t>
      </w:r>
      <w:r>
        <w:rPr>
          <w:rtl w:val="true"/>
        </w:rPr>
        <w:t>י אלו המוסמכים לכך</w:t>
      </w:r>
      <w:r>
        <w:rPr>
          <w:rtl w:val="true"/>
        </w:rPr>
        <w:t xml:space="preserve">, </w:t>
      </w:r>
      <w:r>
        <w:rPr>
          <w:rtl w:val="true"/>
        </w:rPr>
        <w:t>ואז הסיכוי שיעשה בו שימוש שלא כדין קטן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כל הנושא נשק שלא כדין</w:t>
      </w:r>
      <w:r>
        <w:rPr>
          <w:rtl w:val="true"/>
        </w:rPr>
        <w:t xml:space="preserve">, </w:t>
      </w:r>
      <w:r>
        <w:rPr>
          <w:rtl w:val="true"/>
        </w:rPr>
        <w:t>מסכן את הסובבים אותו ואת החברה כולה</w:t>
      </w:r>
      <w:r>
        <w:rPr>
          <w:rtl w:val="true"/>
        </w:rPr>
        <w:t xml:space="preserve">. </w:t>
      </w:r>
      <w:r>
        <w:rPr>
          <w:rtl w:val="true"/>
        </w:rPr>
        <w:t>החזקת נשק שלא כדין הנה</w:t>
      </w:r>
      <w:r>
        <w:rPr>
          <w:rtl w:val="true"/>
        </w:rPr>
        <w:t xml:space="preserve">, </w:t>
      </w:r>
      <w:r>
        <w:rPr>
          <w:rtl w:val="true"/>
        </w:rPr>
        <w:t>במקרים רבים</w:t>
      </w:r>
      <w:r>
        <w:rPr>
          <w:rtl w:val="true"/>
        </w:rPr>
        <w:t xml:space="preserve">, </w:t>
      </w:r>
      <w:r>
        <w:rPr>
          <w:rtl w:val="true"/>
        </w:rPr>
        <w:t>עבירה הגוררת עבירה</w:t>
      </w:r>
      <w:r>
        <w:rPr>
          <w:rtl w:val="true"/>
        </w:rPr>
        <w:t xml:space="preserve">. </w:t>
      </w:r>
      <w:r>
        <w:rPr>
          <w:rtl w:val="true"/>
        </w:rPr>
        <w:t>לא בכדי נקבע איפוא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ביהמ</w:t>
      </w:r>
      <w:r>
        <w:rPr>
          <w:rtl w:val="true"/>
        </w:rPr>
        <w:t>"</w:t>
      </w:r>
      <w:r>
        <w:rPr>
          <w:rtl w:val="true"/>
        </w:rPr>
        <w:t>ש העליון</w:t>
      </w:r>
      <w:r>
        <w:rPr>
          <w:rtl w:val="true"/>
        </w:rPr>
        <w:t xml:space="preserve">, </w:t>
      </w:r>
      <w:r>
        <w:rPr>
          <w:rtl w:val="true"/>
        </w:rPr>
        <w:t xml:space="preserve">כי עבירה זו מצדיקה השתת מאסר בפועל אף על מי שזו לו הרשעתו הראשונה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29/3/04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1281/05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9/2/05</w:t>
      </w:r>
      <w:r>
        <w:rPr>
          <w:rtl w:val="true"/>
        </w:rPr>
        <w:t xml:space="preserve">), </w:t>
      </w:r>
      <w:r>
        <w:rPr>
          <w:rtl w:val="true"/>
        </w:rPr>
        <w:t xml:space="preserve">וכן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17/5/06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אף שירות המבחן ציין בתסקירו</w:t>
      </w:r>
      <w:r>
        <w:rPr>
          <w:rtl w:val="true"/>
        </w:rPr>
        <w:t xml:space="preserve">, </w:t>
      </w:r>
      <w:r>
        <w:rPr>
          <w:rtl w:val="true"/>
        </w:rPr>
        <w:t>כי הנאשם עלול לחזור לסורו ומצא לנכון</w:t>
      </w:r>
      <w:r>
        <w:rPr>
          <w:rtl w:val="true"/>
        </w:rPr>
        <w:t xml:space="preserve">, </w:t>
      </w: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להמליץ על הטלת ענישה מוחשית והרתעתית</w:t>
      </w:r>
      <w:r>
        <w:rPr>
          <w:rtl w:val="true"/>
        </w:rPr>
        <w:t xml:space="preserve">, </w:t>
      </w:r>
      <w:r>
        <w:rPr>
          <w:rtl w:val="true"/>
        </w:rPr>
        <w:t>אם כי הוסיף שענישה שכזו יכול שתהא מאסר מאחורי סורג ובריח או מאסר שירוצה בדרך של עבודת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 חומרת העבירה</w:t>
      </w:r>
      <w:r>
        <w:rPr>
          <w:rtl w:val="true"/>
        </w:rPr>
        <w:t xml:space="preserve">, </w:t>
      </w:r>
      <w:r>
        <w:rPr>
          <w:rtl w:val="true"/>
        </w:rPr>
        <w:t>הצורך לשדר בגינה מסר מרתיע והפסיקה התקדימית</w:t>
      </w:r>
      <w:r>
        <w:rPr>
          <w:rtl w:val="true"/>
        </w:rPr>
        <w:t xml:space="preserve">, </w:t>
      </w:r>
      <w:r>
        <w:rPr>
          <w:rtl w:val="true"/>
        </w:rPr>
        <w:t>לא אוכל להסתפק בהטלת עונש מאסר שירוצה בדרך של עבודת שירות</w:t>
      </w:r>
      <w:r>
        <w:rPr>
          <w:rtl w:val="true"/>
        </w:rPr>
        <w:t xml:space="preserve">. </w:t>
      </w:r>
      <w:r>
        <w:rPr>
          <w:rtl w:val="true"/>
        </w:rPr>
        <w:t>העונש הראוי במקרים מעין אלו 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מאסר בפועל ממשי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באשר לאורך תקופת המאסר</w:t>
      </w:r>
      <w:r>
        <w:rPr>
          <w:rtl w:val="true"/>
        </w:rPr>
        <w:t xml:space="preserve">, </w:t>
      </w:r>
      <w:r>
        <w:rPr>
          <w:rtl w:val="true"/>
        </w:rPr>
        <w:t>אתחשב בהודיית הנאשם בהזדמנות הראשונה</w:t>
      </w:r>
      <w:r>
        <w:rPr>
          <w:rtl w:val="true"/>
        </w:rPr>
        <w:t xml:space="preserve">, </w:t>
      </w:r>
      <w:r>
        <w:rPr>
          <w:rtl w:val="true"/>
        </w:rPr>
        <w:t>בגילו הצעיר</w:t>
      </w:r>
      <w:r>
        <w:rPr>
          <w:rtl w:val="true"/>
        </w:rPr>
        <w:t xml:space="preserve">, </w:t>
      </w:r>
      <w:r>
        <w:rPr>
          <w:rtl w:val="true"/>
        </w:rPr>
        <w:t>בכך שזו לו הסתבכותו הראשונה עם החוק ובבעיה הרפואית ממנה הוא סובל</w:t>
      </w:r>
      <w:r>
        <w:rPr>
          <w:rtl w:val="true"/>
        </w:rPr>
        <w:t xml:space="preserve">. </w:t>
      </w:r>
      <w:r>
        <w:rPr>
          <w:rtl w:val="true"/>
        </w:rPr>
        <w:t xml:space="preserve">עוד אשקול לקולא את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tl w:val="true"/>
        </w:rPr>
        <w:t xml:space="preserve">" </w:t>
      </w:r>
      <w:r>
        <w:rPr>
          <w:rtl w:val="true"/>
        </w:rPr>
        <w:t>החינוכי שהוטל על הנאשם ע</w:t>
      </w:r>
      <w:r>
        <w:rPr>
          <w:rtl w:val="true"/>
        </w:rPr>
        <w:t>"</w:t>
      </w:r>
      <w:r>
        <w:rPr>
          <w:rtl w:val="true"/>
        </w:rPr>
        <w:t>י הוריו כעולה מעדות 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אתחשב בכך שאין חולק על כך</w:t>
      </w:r>
      <w:r>
        <w:rPr>
          <w:rtl w:val="true"/>
        </w:rPr>
        <w:t xml:space="preserve">, </w:t>
      </w:r>
      <w:r>
        <w:rPr>
          <w:rtl w:val="true"/>
        </w:rPr>
        <w:t>שהנאשם אכן מצא הנשק זמן קצר לפני שנעצר ע</w:t>
      </w:r>
      <w:r>
        <w:rPr>
          <w:rtl w:val="true"/>
        </w:rPr>
        <w:t>"</w:t>
      </w:r>
      <w:r>
        <w:rPr>
          <w:rtl w:val="true"/>
        </w:rPr>
        <w:t>י המשטרה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לא אוכל לאמץ את טענת הסנגור </w:t>
      </w:r>
      <w:r>
        <w:rPr>
          <w:rtl w:val="true"/>
        </w:rPr>
        <w:t>(</w:t>
      </w:r>
      <w:r>
        <w:rPr>
          <w:rtl w:val="true"/>
        </w:rPr>
        <w:t>השנויה במחלוקת</w:t>
      </w:r>
      <w:r>
        <w:rPr>
          <w:rtl w:val="true"/>
        </w:rPr>
        <w:t xml:space="preserve">), </w:t>
      </w:r>
      <w:r>
        <w:rPr>
          <w:rtl w:val="true"/>
        </w:rPr>
        <w:t>כי הנאשם התכוון להפקיד הנשק במשטרה</w:t>
      </w:r>
      <w:r>
        <w:rPr>
          <w:rtl w:val="true"/>
        </w:rPr>
        <w:t xml:space="preserve">, </w:t>
      </w:r>
      <w:r>
        <w:rPr>
          <w:rtl w:val="true"/>
        </w:rPr>
        <w:t>שכן עובדה זו שנוייה במחלוקת והנאשם לא העיד ולא נחקר נגדית בדבר טענה עובדתית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בכל הנסיבות לקולא ולחומרא</w:t>
      </w:r>
      <w:r>
        <w:rPr>
          <w:rtl w:val="true"/>
        </w:rPr>
        <w:t xml:space="preserve">, </w:t>
      </w:r>
      <w:r>
        <w:rPr>
          <w:rtl w:val="true"/>
        </w:rPr>
        <w:t xml:space="preserve">אני גוזר על הנאשם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עבירה בנשק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 כל עבירה אחרת של שימוש בנשק 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מתקופת מאסרו תנוכה תקופת מעצרו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24/1/09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18/2/09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זכות ערעור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ש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אילן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מבקש דחייה של כמה ימים לריצוי העונש ע</w:t>
      </w:r>
      <w:r>
        <w:rPr>
          <w:rtl w:val="true"/>
        </w:rPr>
        <w:t>"</w:t>
      </w:r>
      <w:r>
        <w:rPr>
          <w:rtl w:val="true"/>
        </w:rPr>
        <w:t>מ לאפשר לנאשם להתארגן</w:t>
      </w:r>
      <w:r>
        <w:rPr>
          <w:rtl w:val="true"/>
        </w:rPr>
        <w:t xml:space="preserve">. </w:t>
      </w:r>
      <w:r>
        <w:rPr>
          <w:rtl w:val="true"/>
        </w:rPr>
        <w:t>אני מפנה לעובדה כי במסגרת תיק הב</w:t>
      </w:r>
      <w:r>
        <w:rPr>
          <w:rtl w:val="true"/>
        </w:rPr>
        <w:t>"</w:t>
      </w:r>
      <w:r>
        <w:rPr>
          <w:rtl w:val="true"/>
        </w:rPr>
        <w:t xml:space="preserve">ש הופקדו בתיק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כתנאי לשחרור</w:t>
      </w:r>
      <w:r>
        <w:rPr>
          <w:rtl w:val="true"/>
        </w:rPr>
        <w:t xml:space="preserve">. </w:t>
      </w:r>
      <w:r>
        <w:rPr>
          <w:rtl w:val="true"/>
        </w:rPr>
        <w:t>כמו כן שתי ערבויות של שני צדד ג</w:t>
      </w:r>
      <w:r>
        <w:rPr>
          <w:rtl w:val="true"/>
        </w:rPr>
        <w:t xml:space="preserve">' </w:t>
      </w:r>
      <w:r>
        <w:rPr>
          <w:rtl w:val="true"/>
        </w:rPr>
        <w:t xml:space="preserve">בסכום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בנוסף לחתימה על התחייבות עצמית בסך של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משאירה לשיקול דעת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נבקש להורות על השמדת האקדח</w:t>
      </w:r>
      <w:r>
        <w:rPr>
          <w:rtl w:val="true"/>
        </w:rPr>
        <w:t xml:space="preserve">, </w:t>
      </w:r>
      <w:r>
        <w:rPr>
          <w:rtl w:val="true"/>
        </w:rPr>
        <w:t>המחסנית והתחמושת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התנגדות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יתייצב לריצוי עונשו ביום </w:t>
      </w:r>
      <w:r>
        <w:rPr/>
        <w:t>9/6/09</w:t>
      </w:r>
      <w:r>
        <w:rPr>
          <w:rtl w:val="true"/>
        </w:rPr>
        <w:t xml:space="preserve">. </w:t>
      </w:r>
      <w:r>
        <w:rPr>
          <w:rtl w:val="true"/>
        </w:rPr>
        <w:t>במועד זה יהא עליו להתייצב</w:t>
      </w:r>
      <w:r>
        <w:rPr>
          <w:rtl w:val="true"/>
        </w:rPr>
        <w:t xml:space="preserve">, </w:t>
      </w:r>
      <w:r>
        <w:rPr>
          <w:rtl w:val="true"/>
        </w:rPr>
        <w:t xml:space="preserve">עד השעה </w:t>
      </w:r>
      <w:r>
        <w:rPr/>
        <w:t>08:30</w:t>
      </w:r>
      <w:r>
        <w:rPr>
          <w:rtl w:val="true"/>
        </w:rPr>
        <w:t xml:space="preserve">, </w:t>
      </w:r>
      <w:r>
        <w:rPr>
          <w:rtl w:val="true"/>
        </w:rPr>
        <w:t>במזכירות ביהמ</w:t>
      </w:r>
      <w:r>
        <w:rPr>
          <w:rtl w:val="true"/>
        </w:rPr>
        <w:t>"</w:t>
      </w:r>
      <w:r>
        <w:rPr>
          <w:rtl w:val="true"/>
        </w:rPr>
        <w:t xml:space="preserve">ש המחוזי בחיפה </w:t>
      </w:r>
      <w:r>
        <w:rPr>
          <w:rtl w:val="true"/>
        </w:rPr>
        <w:t>(</w:t>
      </w:r>
      <w:r>
        <w:rPr>
          <w:rtl w:val="true"/>
        </w:rPr>
        <w:t>מדור פלילי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 השחרור של הנאשם ממעצר יעמדו בעינם עד להתייצבות הנאשם לריצוי 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 בזאת צו להשמדת האקדח</w:t>
      </w:r>
      <w:r>
        <w:rPr>
          <w:rtl w:val="true"/>
        </w:rPr>
        <w:t xml:space="preserve">, </w:t>
      </w:r>
      <w:r>
        <w:rPr>
          <w:rtl w:val="true"/>
        </w:rPr>
        <w:t>המחסנית והתחמושת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אילן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דנינו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/Users/liorb/Downloads/study2025-p2/ME-09-01-18409-772.doc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18409-01-09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הלאל אבו שנדי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8409-01-09"/>
    <w:docVar w:name="caseId" w:val="12139380"/>
    <w:docVar w:name="deriveClass" w:val="NGCS.Protocol.BL.Client.ProtocolBLClientCriminal"/>
    <w:docVar w:name="firstPageNumber" w:val="11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352900"/>
    <w:docVar w:name="releaseSign" w:val="0"/>
    <w:docVar w:name="sittingDateTime" w:val="04/06/2009 08:30     "/>
    <w:docVar w:name="sittingId" w:val="15579165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5758567" TargetMode="External"/><Relationship Id="rId13" Type="http://schemas.openxmlformats.org/officeDocument/2006/relationships/hyperlink" Target="http://www.nevo.co.il/case/6169310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2016-09-21T15:33:00Z</dcterms:created>
  <dc:creator> </dc:creator>
  <dc:description/>
  <cp:keywords/>
  <dc:language>en-IL</dc:language>
  <cp:lastModifiedBy>orit</cp:lastModifiedBy>
  <cp:lastPrinted>2009-06-04T09:58:00Z</cp:lastPrinted>
  <dcterms:modified xsi:type="dcterms:W3CDTF">2016-09-21T15:33:00Z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הלאל אבו שנדי</vt:lpwstr>
  </property>
  <property fmtid="{D5CDD505-2E9C-101B-9397-08002B2CF9AE}" pid="4" name="CASESLISTTMP1">
    <vt:lpwstr>5852404;5758567;6169310</vt:lpwstr>
  </property>
  <property fmtid="{D5CDD505-2E9C-101B-9397-08002B2CF9AE}" pid="5" name="CITY">
    <vt:lpwstr>חי'</vt:lpwstr>
  </property>
  <property fmtid="{D5CDD505-2E9C-101B-9397-08002B2CF9AE}" pid="6" name="DATE">
    <vt:lpwstr>20090604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70301/144.a:2;144.b;144:2</vt:lpwstr>
  </property>
  <property fmtid="{D5CDD505-2E9C-101B-9397-08002B2CF9AE}" pid="11" name="LAWYER">
    <vt:lpwstr>אולגה שיינמן;מג'אדלה מוחמד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18409</vt:lpwstr>
  </property>
  <property fmtid="{D5CDD505-2E9C-101B-9397-08002B2CF9AE}" pid="25" name="NEWPARTB">
    <vt:lpwstr>01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390020090604</vt:lpwstr>
  </property>
  <property fmtid="{D5CDD505-2E9C-101B-9397-08002B2CF9AE}" pid="37" name="TYPE_N_DATE">
    <vt:lpwstr>39020090604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