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916"/>
        <w:gridCol w:w="3663"/>
        <w:gridCol w:w="99"/>
      </w:tblGrid>
      <w:tr>
        <w:trPr>
          <w:trHeight w:val="418" w:hRule="exact"/>
        </w:trPr>
        <w:tc>
          <w:tcPr>
            <w:tcW w:w="8721" w:type="dxa"/>
            <w:gridSpan w:val="4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color w:val="000080"/>
              </w:rPr>
            </w:pPr>
            <w:r>
              <w:rPr>
                <w:rFonts w:cs="Tahoma" w:ascii="Tahoma" w:hAnsi="Tahoma"/>
                <w:color w:val="00008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5058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18449-04-23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עמירה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)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ואח</w:t>
            </w:r>
            <w:r>
              <w:rPr>
                <w:rFonts w:cs="FrankRuehl"/>
                <w:sz w:val="28"/>
                <w:szCs w:val="28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99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" w:hAnsi="David"/>
                <w:rtl w:val="true"/>
              </w:rPr>
              <w:t>ל</w:t>
            </w:r>
            <w:r>
              <w:rPr>
                <w:rFonts w:ascii="David" w:hAnsi="David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  ארנון איתן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</w:rPr>
            </w:pPr>
            <w:bookmarkStart w:id="1" w:name="FirstAppellant"/>
            <w:bookmarkEnd w:id="1"/>
            <w:r>
              <w:rPr>
                <w:rFonts w:ascii="David" w:hAnsi="David"/>
                <w:rtl w:val="true"/>
              </w:rPr>
              <w:t>בעניין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spacing w:lineRule="auto" w:line="276"/>
              <w:ind w:end="0"/>
              <w:jc w:val="start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ירושלים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פלילי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7897" w:type="dxa"/>
            <w:gridSpan w:val="4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הנאשמים</w:t>
            </w:r>
          </w:p>
        </w:tc>
        <w:tc>
          <w:tcPr>
            <w:tcW w:w="4678" w:type="dxa"/>
            <w:gridSpan w:val="3"/>
            <w:tcBorders/>
            <w:vAlign w:val="center"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suppressLineNumbers/>
              <w:spacing w:lineRule="auto" w:line="276"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</w:rPr>
              <w:t>1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יזן עמירה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  <w:br/>
              <w:t xml:space="preserve">    </w:t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עואודה</w:t>
            </w:r>
          </w:p>
          <w:p>
            <w:pPr>
              <w:pStyle w:val="Normal"/>
              <w:suppressLineNumbers/>
              <w:spacing w:lineRule="auto" w:line="276"/>
              <w:ind w:end="0"/>
              <w:jc w:val="start"/>
              <w:rPr/>
            </w:pPr>
            <w:r>
              <w:rPr>
                <w:rFonts w:cs="Arial" w:ascii="Arial" w:hAnsi="Arial"/>
                <w:b/>
                <w:bCs/>
              </w:rPr>
              <w:t>2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גאהד עמירה </w:t>
            </w:r>
            <w:r>
              <w:rPr>
                <w:rFonts w:cs="Arial" w:ascii="Arial" w:hAnsi="Arial"/>
                <w:b/>
                <w:bCs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rtl w:val="true"/>
              </w:rPr>
              <w:t>)</w:t>
              <w:br/>
              <w:t xml:space="preserve">    </w:t>
            </w:r>
            <w:r>
              <w:rPr>
                <w:rFonts w:ascii="Arial" w:hAnsi="Arial" w:cs="Arial"/>
                <w:rtl w:val="true"/>
              </w:rPr>
              <w:t>ע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י ב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כ עוה</w:t>
            </w:r>
            <w:r>
              <w:rPr>
                <w:rFonts w:cs="Arial" w:ascii="Arial" w:hAnsi="Arial"/>
                <w:rtl w:val="true"/>
              </w:rPr>
              <w:t>"</w:t>
            </w:r>
            <w:r>
              <w:rPr>
                <w:rFonts w:ascii="Arial" w:hAnsi="Arial" w:cs="Arial"/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חלאילה</w:t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u w:val="single"/>
              </w:rPr>
            </w:pPr>
            <w:r>
              <w:rPr>
                <w:rFonts w:cs="David" w:ascii="David" w:hAnsi="David"/>
                <w:b/>
                <w:bCs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David" w:hAnsi="David" w:cs="David"/>
          <w:color w:val="000000"/>
        </w:rPr>
      </w:pPr>
      <w:bookmarkStart w:id="7" w:name="ABSTRACT_START"/>
      <w:bookmarkEnd w:id="7"/>
      <w:r>
        <w:rPr>
          <w:rFonts w:ascii="David" w:hAnsi="David"/>
          <w:color w:val="000000"/>
          <w:rtl w:val="true"/>
        </w:rPr>
        <w:t>הנאשמים הורשעו על פי הודאתם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ובמסגרת הסדר טיעון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בכתב אישום מתוקן המייחס להם עבירה של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החזקת נשק לפי </w:t>
      </w:r>
      <w:hyperlink r:id="rId5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 ל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ז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1977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b/>
          <w:b/>
          <w:bCs/>
          <w:color w:val="000000"/>
          <w:rtl w:val="true"/>
        </w:rPr>
        <w:t>החוק</w:t>
      </w:r>
      <w:r>
        <w:rPr>
          <w:rFonts w:cs="David" w:ascii="David" w:hAnsi="David"/>
          <w:color w:val="000000"/>
          <w:rtl w:val="true"/>
        </w:rPr>
        <w:t xml:space="preserve">"), </w:t>
      </w:r>
      <w:r>
        <w:rPr>
          <w:rFonts w:ascii="David" w:hAnsi="David"/>
          <w:color w:val="000000"/>
          <w:rtl w:val="true"/>
        </w:rPr>
        <w:t>ועבירה של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החזקת אביזרי נשק ותחמושת לפי </w:t>
      </w:r>
      <w:hyperlink r:id="rId7">
        <w:r>
          <w:rPr>
            <w:rStyle w:val="Hyperlink"/>
            <w:rFonts w:ascii="David" w:hAnsi="David"/>
            <w:rtl w:val="true"/>
          </w:rPr>
          <w:t xml:space="preserve">סעיף </w:t>
        </w:r>
        <w:r>
          <w:rPr>
            <w:rStyle w:val="Hyperlink"/>
            <w:rFonts w:cs="David" w:ascii="David" w:hAnsi="David"/>
          </w:rPr>
          <w:t>144</w:t>
        </w:r>
        <w:r>
          <w:rPr>
            <w:rStyle w:val="Hyperlink"/>
            <w:rFonts w:cs="David" w:ascii="David" w:hAnsi="David"/>
            <w:rtl w:val="true"/>
          </w:rPr>
          <w:t>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 פי המתואר בכתב 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ממועד שאינו ידוע במדויק למאשימה ועד יום </w:t>
      </w:r>
      <w:r>
        <w:rPr>
          <w:rFonts w:cs="David" w:ascii="David" w:hAnsi="David"/>
          <w:color w:val="000000"/>
        </w:rPr>
        <w:t>15.3.23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החזיקו הנאשמים בחצר שטח ביתם 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ותחמושת לנשק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כמפורט להלן</w:t>
      </w:r>
      <w:r>
        <w:rPr>
          <w:rFonts w:cs="David" w:ascii="David" w:hAnsi="David"/>
          <w:color w:val="000000"/>
          <w:rtl w:val="true"/>
        </w:rPr>
        <w:t>:</w:t>
      </w:r>
      <w:r>
        <w:rPr>
          <w:rFonts w:cs="David" w:ascii="David" w:hAnsi="David"/>
          <w:color w:val="000000"/>
          <w:rtl w:val="true"/>
        </w:rPr>
        <w:t xml:space="preserve"> </w:t>
      </w:r>
    </w:p>
    <w:p>
      <w:pPr>
        <w:pStyle w:val="ListParagraph"/>
        <w:numPr>
          <w:ilvl w:val="0"/>
          <w:numId w:val="5"/>
        </w:numPr>
        <w:spacing w:lineRule="auto" w:line="360" w:before="0" w:after="160"/>
        <w:ind w:hanging="390" w:start="390" w:end="0"/>
        <w:contextualSpacing/>
        <w:jc w:val="both"/>
        <w:rPr>
          <w:rFonts w:ascii="Arial" w:hAnsi="Arial" w:cs="Arial"/>
        </w:rPr>
      </w:pPr>
      <w:r>
        <w:rPr>
          <w:rFonts w:ascii="David" w:hAnsi="David"/>
          <w:color w:val="000000"/>
          <w:rtl w:val="true"/>
        </w:rPr>
        <w:t>ד</w:t>
      </w:r>
      <w:r>
        <w:rPr>
          <w:rFonts w:ascii="David" w:hAnsi="David"/>
          <w:color w:val="000000"/>
          <w:rtl w:val="true"/>
        </w:rPr>
        <w:t>מוי רובה ציד מאולתר יורה שבכוחו להמית אדם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cs="David" w:ascii="David" w:hAnsi="David"/>
          <w:color w:val="000000"/>
        </w:rPr>
        <w:t>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כדורי תחמושת ותרמיל תואמים</w:t>
      </w:r>
      <w:bookmarkStart w:id="8" w:name="ABSTRACT_END"/>
      <w:bookmarkEnd w:id="8"/>
      <w:r>
        <w:rPr>
          <w:rFonts w:cs="David" w:ascii="David" w:hAnsi="David"/>
          <w:color w:val="000000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firstLine="39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טענות הצדדים</w:t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המאשימה ה</w:t>
      </w:r>
      <w:r>
        <w:rPr>
          <w:rFonts w:ascii="Arial" w:hAnsi="Arial" w:cs="Arial"/>
          <w:rtl w:val="true"/>
        </w:rPr>
        <w:t>פנתה לר</w:t>
      </w:r>
      <w:r>
        <w:rPr>
          <w:rFonts w:ascii="Arial" w:hAnsi="Arial" w:cs="Arial"/>
          <w:rtl w:val="true"/>
        </w:rPr>
        <w:t xml:space="preserve">ישום פלילי </w:t>
      </w:r>
      <w:r>
        <w:rPr>
          <w:rFonts w:ascii="Arial" w:hAnsi="Arial" w:cs="Arial"/>
          <w:rtl w:val="true"/>
        </w:rPr>
        <w:t xml:space="preserve">קודם </w:t>
      </w:r>
      <w:r>
        <w:rPr>
          <w:rFonts w:ascii="Arial" w:hAnsi="Arial" w:cs="Arial"/>
          <w:rtl w:val="true"/>
        </w:rPr>
        <w:t xml:space="preserve">בעניינו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 xml:space="preserve">מאסר על תנאי להפעלה </w:t>
      </w:r>
      <w:r>
        <w:rPr>
          <w:rFonts w:ascii="Arial" w:hAnsi="Arial" w:cs="Arial"/>
          <w:rtl w:val="true"/>
        </w:rPr>
        <w:t>בעניינו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הערכים המוגנים בהם פגעו</w:t>
      </w:r>
      <w:r>
        <w:rPr>
          <w:rFonts w:ascii="Arial" w:hAnsi="Arial" w:cs="Arial"/>
          <w:rtl w:val="true"/>
        </w:rPr>
        <w:t xml:space="preserve"> הנאשמים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ציינה המאשימה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עבירות הנשק בהן הורשעו  טומנות בחובן סיכון ממשי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בין לפעולה עבריינית ובין לפעולת טרור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החזקתו יכולה להוביל לכך שיגיע לידיים נוספות זולת המחזיק מלכתחילה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דבר שמגביר את עוצמת הסיכונים הנשקפים ממנו לשלום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בטחונו האישי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שלמות הגוף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עיקרון שלטון החוק והסדר הציבורי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מדיניות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הפנתה המאשימה לכך שמדובר בעבירות שהפכו 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מכת מדינה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הן המחוקק והן בתי המשפט עמדו על הצורך בהחמרת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כך שבעבירות אלו נקבע עונש מינימום של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וחריגה ממנו תעשה מטעמים מיוחדים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נקבע שהליך שיקומי אינו </w:t>
      </w:r>
      <w:r>
        <w:rPr>
          <w:rFonts w:ascii="Arial" w:hAnsi="Arial" w:cs="Arial"/>
          <w:rtl w:val="true"/>
        </w:rPr>
        <w:t>בבחינת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טעמים מיוחדים</w:t>
      </w:r>
      <w:r>
        <w:rPr>
          <w:rFonts w:cs="Arial" w:ascii="Arial" w:hAnsi="Arial"/>
          <w:rtl w:val="true"/>
        </w:rPr>
        <w:t>".</w:t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ביחס ל</w:t>
      </w:r>
      <w:r>
        <w:rPr>
          <w:rFonts w:ascii="Arial" w:hAnsi="Arial" w:cs="Arial"/>
          <w:rtl w:val="true"/>
        </w:rPr>
        <w:t>נסיבות ביצוע העבירה צוין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הנאשמים החזיקו בחצר ביתם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נשק דמוי רובה ציד מאולתר שבכוחו להמית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לצדו נמצאו ארבעה כדורי תחמושת ותרמיל תואמים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עצם החזקת הנשק ללא רישיון היא חמורה כשלעצמה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פוטנציאל הנזק מתעצם לנוכח החזקת אביזרי תחמושת תואמים מה שמגדיל את פוטנציאל השימוש המי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די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למרות שתקופת ההחזקה אינה ידועה למאשימה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אף החזקה לתקופה קצרה טומנת בחובה חשש ממשי לעשיית שימוש 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 המאשימה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גם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עובדה שהנשק נמצא בחצר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מעידה על כך שהנאשמים הבינו את הפסול במעשיהם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וקיים תחכום במעשה בכך שהנשק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ו</w:t>
      </w:r>
      <w:r>
        <w:rPr>
          <w:rFonts w:ascii="Arial" w:hAnsi="Arial" w:cs="Arial"/>
          <w:rtl w:val="true"/>
        </w:rPr>
        <w:t>חבא בחצר הבית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הפנתה המאשימה לפסיקה </w:t>
      </w:r>
      <w:r>
        <w:rPr>
          <w:rFonts w:ascii="Arial" w:hAnsi="Arial" w:cs="Arial"/>
          <w:rtl w:val="true"/>
        </w:rPr>
        <w:t xml:space="preserve">ענפה </w:t>
      </w:r>
      <w:r>
        <w:rPr>
          <w:rFonts w:ascii="Arial" w:hAnsi="Arial" w:cs="Arial"/>
          <w:rtl w:val="true"/>
        </w:rPr>
        <w:t>בעבירות נשק מהשנים 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</w:t>
      </w:r>
      <w:r>
        <w:rPr>
          <w:rFonts w:ascii="Arial" w:hAnsi="Arial" w:cs="Arial"/>
          <w:rtl w:val="true"/>
        </w:rPr>
        <w:t xml:space="preserve">ם נגזרו על נאשמים עונשי מאסר בטווח שבין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ביקשה המאשימה </w:t>
      </w:r>
      <w:r>
        <w:rPr>
          <w:rFonts w:ascii="Arial" w:hAnsi="Arial" w:cs="Arial"/>
          <w:rtl w:val="true"/>
        </w:rPr>
        <w:t xml:space="preserve">לקבוע מתחם ענישה </w:t>
      </w:r>
      <w:r>
        <w:rPr>
          <w:rFonts w:ascii="Arial" w:hAnsi="Arial" w:cs="Arial"/>
          <w:rtl w:val="true"/>
        </w:rPr>
        <w:t>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48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ascii="Arial" w:hAnsi="Arial" w:cs="Arial"/>
          <w:rtl w:val="true"/>
        </w:rPr>
        <w:t>בגין החזקת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ומתחם שבין מאסר על תנאי ועד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בגין החזקת תחמושת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ובסך הכול מתחם שבין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49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ביחס </w:t>
      </w:r>
      <w:r>
        <w:rPr>
          <w:rFonts w:ascii="Arial" w:hAnsi="Arial" w:cs="Arial"/>
          <w:rtl w:val="true"/>
        </w:rPr>
        <w:t xml:space="preserve">לנאשם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המאשימה להביא בחשבון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העובדה כי הוא נעדר רישום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נטילת האחריות והחיסכון בזמן </w:t>
      </w:r>
      <w:r>
        <w:rPr>
          <w:rFonts w:ascii="Arial" w:hAnsi="Arial" w:cs="Arial"/>
          <w:rtl w:val="true"/>
        </w:rPr>
        <w:t>שיפוטי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שיקולי הרתעת יחיד ורבים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נוכח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ביקשה לגזור על 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עונש </w:t>
      </w:r>
      <w:r>
        <w:rPr>
          <w:rFonts w:ascii="Arial" w:hAnsi="Arial" w:cs="Arial"/>
          <w:rtl w:val="true"/>
        </w:rPr>
        <w:t xml:space="preserve">המצוי </w:t>
      </w:r>
      <w:r>
        <w:rPr>
          <w:rFonts w:ascii="Arial" w:hAnsi="Arial" w:cs="Arial"/>
          <w:rtl w:val="true"/>
        </w:rPr>
        <w:t>ברף התחתון של המתחם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למשך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לצד </w:t>
      </w:r>
      <w:r>
        <w:rPr>
          <w:rFonts w:ascii="Arial" w:hAnsi="Arial" w:cs="Arial"/>
          <w:rtl w:val="true"/>
        </w:rPr>
        <w:t>מאסר על תנאי וקנס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ביחס לנאשם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ביקשה המאשימה לשקול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לקולא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הודאתו והחיסכון בז</w:t>
      </w:r>
      <w:r>
        <w:rPr>
          <w:rFonts w:ascii="Arial" w:hAnsi="Arial" w:cs="Arial"/>
          <w:rtl w:val="true"/>
        </w:rPr>
        <w:t>מן שיפוטי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מנגד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רישומו הפלילי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ומאסר על תנאי להפעלה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 ביקשה להטיל עליו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הכוללים את המאסר על תנאי להפעלה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לדברי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רמת הענישה לו עותרת המאשימה שונה מהפסיקה המנחה של בתי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הוסף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>בפסיקה נקבע כי העונש המזערי אינו צריך להיות מאסר בפועל בהכרח</w:t>
      </w:r>
      <w:r>
        <w:rPr>
          <w:rFonts w:ascii="Arial" w:hAnsi="Arial" w:cs="Arial"/>
          <w:rtl w:val="true"/>
        </w:rPr>
        <w:t xml:space="preserve"> וניתן להטילו גם על תנאי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מתחם הענישה מתחיל ב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ובמיוחד </w:t>
      </w: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מדובר ברובה ציד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לא מיועד לפגוע באדם </w:t>
      </w:r>
      <w:r>
        <w:rPr>
          <w:rFonts w:ascii="Arial" w:hAnsi="Arial" w:cs="Arial"/>
          <w:rtl w:val="true"/>
        </w:rPr>
        <w:t>על דרך ה</w:t>
      </w:r>
      <w:r>
        <w:rPr>
          <w:rFonts w:ascii="Arial" w:hAnsi="Arial" w:cs="Arial"/>
          <w:rtl w:val="true"/>
        </w:rPr>
        <w:t>כלל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עוד 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>אין ה</w:t>
      </w:r>
      <w:r>
        <w:rPr>
          <w:rFonts w:ascii="Arial" w:hAnsi="Arial" w:cs="Arial"/>
          <w:rtl w:val="true"/>
        </w:rPr>
        <w:t>מדובר בהובלת נשק אלא בהחזקתו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לא הוכח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</w:t>
      </w:r>
      <w:r>
        <w:rPr>
          <w:rFonts w:ascii="Arial" w:hAnsi="Arial" w:cs="Arial"/>
          <w:rtl w:val="true"/>
        </w:rPr>
        <w:t>י</w:t>
      </w:r>
      <w:r>
        <w:rPr>
          <w:rFonts w:ascii="Arial" w:hAnsi="Arial" w:cs="Arial"/>
          <w:rtl w:val="true"/>
        </w:rPr>
        <w:t>יתה כוונה ל</w:t>
      </w:r>
      <w:r>
        <w:rPr>
          <w:rFonts w:ascii="Arial" w:hAnsi="Arial" w:cs="Arial"/>
          <w:rtl w:val="true"/>
        </w:rPr>
        <w:t>עשות בו שימוש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עתר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להסתפק בתקופה בה הנאשם עצור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ציין בטיעוניו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ה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לחובתו הרשעה אחת בה נקבע </w:t>
      </w:r>
      <w:r>
        <w:rPr>
          <w:rFonts w:ascii="Arial" w:hAnsi="Arial" w:cs="Arial"/>
          <w:rtl w:val="true"/>
        </w:rPr>
        <w:t xml:space="preserve">עונש מאסר </w:t>
      </w:r>
      <w:r>
        <w:rPr>
          <w:rFonts w:ascii="Arial" w:hAnsi="Arial" w:cs="Arial"/>
          <w:rtl w:val="true"/>
        </w:rPr>
        <w:t xml:space="preserve">על תנאי </w:t>
      </w:r>
      <w:r>
        <w:rPr>
          <w:rFonts w:ascii="Arial" w:hAnsi="Arial" w:cs="Arial"/>
          <w:rtl w:val="true"/>
        </w:rPr>
        <w:t xml:space="preserve">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</w:t>
      </w:r>
      <w:r>
        <w:rPr>
          <w:rFonts w:ascii="Arial" w:hAnsi="Arial" w:cs="Arial"/>
          <w:rtl w:val="true"/>
        </w:rPr>
        <w:t>על כל עבירה מסוג פשע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צוין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</w:t>
      </w:r>
      <w:r>
        <w:rPr>
          <w:rFonts w:ascii="Arial" w:hAnsi="Arial" w:cs="Arial"/>
          <w:rtl w:val="true"/>
        </w:rPr>
        <w:t>הנאשם הודה ו</w:t>
      </w:r>
      <w:r>
        <w:rPr>
          <w:rFonts w:ascii="Arial" w:hAnsi="Arial" w:cs="Arial"/>
          <w:rtl w:val="true"/>
        </w:rPr>
        <w:t xml:space="preserve">נטל </w:t>
      </w:r>
      <w:r>
        <w:rPr>
          <w:rFonts w:ascii="Arial" w:hAnsi="Arial" w:cs="Arial"/>
          <w:rtl w:val="true"/>
        </w:rPr>
        <w:t xml:space="preserve">אחריות כבר בחודש יוני </w:t>
      </w:r>
      <w:r>
        <w:rPr>
          <w:rFonts w:cs="Arial" w:ascii="Arial" w:hAnsi="Arial"/>
        </w:rPr>
        <w:t>2023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ההסדר שנחתם כ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 xml:space="preserve">ל </w:t>
      </w:r>
      <w:r>
        <w:rPr>
          <w:rFonts w:ascii="Arial" w:hAnsi="Arial" w:cs="Arial"/>
          <w:rtl w:val="true"/>
        </w:rPr>
        <w:t xml:space="preserve">הסכמה לכך שהמאסר על תנאי לא יופעל </w:t>
      </w:r>
      <w:r>
        <w:rPr>
          <w:rFonts w:ascii="Arial" w:hAnsi="Arial" w:cs="Arial"/>
          <w:rtl w:val="true"/>
        </w:rPr>
        <w:t>במצטבר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הסנגור הוסיף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לא נמצאה טביעת אצבע של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על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מדובר בכלי נשק פרימיטיבי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מיועד מטבעו לשימוש נגד בני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הפנה למספר המועט של הכדורים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במספר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לעניין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ציין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כי המתחם מתחיל ב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ומכיוון שהנאשם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עצור כבר למעלה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שיש להסתפק בתקופ</w:t>
      </w:r>
      <w:r>
        <w:rPr>
          <w:rFonts w:ascii="Arial" w:hAnsi="Arial" w:cs="Arial"/>
          <w:rtl w:val="true"/>
        </w:rPr>
        <w:t>ה זו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בהתייחס 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לכך ש</w:t>
      </w:r>
      <w:r>
        <w:rPr>
          <w:rFonts w:ascii="Arial" w:hAnsi="Arial" w:cs="Arial"/>
          <w:rtl w:val="true"/>
        </w:rPr>
        <w:t xml:space="preserve">הסדר הטיעון כלל הסכמה </w:t>
      </w:r>
      <w:r>
        <w:rPr>
          <w:rFonts w:ascii="Arial" w:hAnsi="Arial" w:cs="Arial"/>
          <w:rtl w:val="true"/>
        </w:rPr>
        <w:t xml:space="preserve">שלא להפעיל את </w:t>
      </w:r>
      <w:r>
        <w:rPr>
          <w:rFonts w:ascii="Arial" w:hAnsi="Arial" w:cs="Arial"/>
          <w:rtl w:val="true"/>
        </w:rPr>
        <w:t>עונש המאסר המותנה</w:t>
      </w:r>
      <w:r>
        <w:rPr>
          <w:rFonts w:ascii="Arial" w:hAnsi="Arial" w:cs="Arial"/>
          <w:rtl w:val="true"/>
        </w:rPr>
        <w:t xml:space="preserve"> במצטבר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הפנתה המאשימה להודעת ההבהרה בעניין זה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בשגגה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הופיע הרישום הפלילי של הנאשם</w:t>
      </w:r>
      <w:r>
        <w:rPr>
          <w:rFonts w:ascii="Arial" w:hAnsi="Arial" w:cs="Arial"/>
          <w:rtl w:val="true"/>
        </w:rPr>
        <w:t xml:space="preserve"> בידיה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ולכן נאמר ב</w:t>
      </w:r>
      <w:r>
        <w:rPr>
          <w:rFonts w:ascii="Arial" w:hAnsi="Arial" w:cs="Arial"/>
          <w:rtl w:val="true"/>
        </w:rPr>
        <w:t xml:space="preserve">מסגרת </w:t>
      </w:r>
      <w:r>
        <w:rPr>
          <w:rFonts w:ascii="Arial" w:hAnsi="Arial" w:cs="Arial"/>
          <w:rtl w:val="true"/>
        </w:rPr>
        <w:t>אותו דיון כי יש למקם את הנאשם בתחתית המתחם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המאשימה</w:t>
      </w:r>
      <w:r>
        <w:rPr>
          <w:rFonts w:ascii="Arial" w:hAnsi="Arial" w:cs="Arial"/>
          <w:rtl w:val="true"/>
        </w:rPr>
        <w:t xml:space="preserve"> הוסיפה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כי נוכח רישומו </w:t>
      </w:r>
      <w:r>
        <w:rPr>
          <w:rFonts w:ascii="Arial" w:hAnsi="Arial" w:cs="Arial"/>
          <w:rtl w:val="true"/>
        </w:rPr>
        <w:t xml:space="preserve">הפלילי </w:t>
      </w:r>
      <w:r>
        <w:rPr>
          <w:rFonts w:ascii="Arial" w:hAnsi="Arial" w:cs="Arial"/>
          <w:rtl w:val="true"/>
        </w:rPr>
        <w:t xml:space="preserve">של הנאשם וקיומו של </w:t>
      </w:r>
      <w:r>
        <w:rPr>
          <w:rFonts w:ascii="Arial" w:hAnsi="Arial" w:cs="Arial"/>
          <w:rtl w:val="true"/>
        </w:rPr>
        <w:t>מאסר מותנה</w:t>
      </w:r>
      <w:r>
        <w:rPr>
          <w:rFonts w:ascii="Arial" w:hAnsi="Arial" w:cs="Arial"/>
          <w:rtl w:val="true"/>
        </w:rPr>
        <w:t xml:space="preserve"> להפעלה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בשים לב לכך שהתבקש עונש מאסר </w:t>
      </w:r>
      <w:r>
        <w:rPr>
          <w:rFonts w:ascii="Arial" w:hAnsi="Arial" w:cs="Arial"/>
          <w:rtl w:val="true"/>
        </w:rPr>
        <w:t xml:space="preserve">למשך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מדובר עדיין ב</w:t>
      </w:r>
      <w:r>
        <w:rPr>
          <w:rFonts w:ascii="Arial" w:hAnsi="Arial" w:cs="Arial"/>
          <w:rtl w:val="true"/>
        </w:rPr>
        <w:t>עתירה לעונש מאסר המצוי ב</w:t>
      </w:r>
      <w:r>
        <w:rPr>
          <w:rFonts w:ascii="Arial" w:hAnsi="Arial" w:cs="Arial"/>
          <w:rtl w:val="true"/>
        </w:rPr>
        <w:t>שליש התחתון של המתחם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הביע חרטה על המעשה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והוסיף </w:t>
      </w:r>
      <w:r>
        <w:rPr>
          <w:rFonts w:ascii="Arial" w:hAnsi="Arial" w:cs="Arial"/>
          <w:rtl w:val="true"/>
        </w:rPr>
        <w:t xml:space="preserve">כי מצבו הכלכלי </w:t>
      </w:r>
      <w:r>
        <w:rPr>
          <w:rFonts w:ascii="Arial" w:hAnsi="Arial" w:cs="Arial"/>
          <w:rtl w:val="true"/>
        </w:rPr>
        <w:t>הורע מאז מעצרו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ביקש להשתחרר לביתו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שהפנה למצבן הרפואי הקשה של אחותו ואחייניתו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ביקש אף הוא ל</w:t>
      </w:r>
      <w:r>
        <w:rPr>
          <w:rFonts w:ascii="Arial" w:hAnsi="Arial" w:cs="Arial"/>
          <w:rtl w:val="true"/>
        </w:rPr>
        <w:t>השתחרר</w:t>
      </w:r>
      <w:r>
        <w:rPr>
          <w:rFonts w:ascii="Arial" w:hAnsi="Arial" w:cs="Arial"/>
          <w:rtl w:val="true"/>
        </w:rPr>
        <w:t xml:space="preserve"> בקרוב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המצב בביתם גרוע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מבקש לשוב כדי לסייע בפרנסת המשפחה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firstLine="390"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דיון</w:t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Arial" w:hAnsi="Arial" w:cs="Arial"/>
        </w:rPr>
      </w:pPr>
      <w:r>
        <w:rPr>
          <w:rFonts w:ascii="David" w:hAnsi="David" w:eastAsia="Calibri"/>
          <w:color w:val="000000"/>
          <w:shd w:fill="FFFFFF" w:val="clear"/>
          <w:rtl w:val="true"/>
        </w:rPr>
        <w:t>תחילה ראיתי להעיר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כי אין מקום לערוך הפרדה בין כלי הנשק שנתפס לבין התחמושת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ובהתאם לעתור לקביעת מתחמי ענישה נפרדים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 w:eastAsia="Calibri"/>
          <w:color w:val="000000"/>
          <w:shd w:fill="FFFFFF" w:val="clear"/>
          <w:rtl w:val="true"/>
        </w:rPr>
        <w:t>המדובר באירוע אחד בו נתפס נשק כשלצדו תחמושת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ועל כן יש לקבוע מתחם ענישה אחד הכולל הן את הנשק והן את התחמושת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Arial" w:hAnsi="Arial" w:cs="Arial"/>
        </w:rPr>
      </w:pPr>
      <w:r>
        <w:rPr>
          <w:rFonts w:ascii="David" w:hAnsi="David" w:eastAsia="Calibri"/>
          <w:color w:val="000000"/>
          <w:shd w:fill="FFFFFF" w:val="clear"/>
          <w:rtl w:val="true"/>
        </w:rPr>
        <w:t>הערך החברתי המוגן העומד בבסיס עבירות הנשק הינו ההגנה על שלום הציבור וביטחונו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. </w:t>
      </w:r>
      <w:r>
        <w:rPr>
          <w:rFonts w:ascii="David" w:hAnsi="David" w:eastAsia="Calibri"/>
          <w:color w:val="000000"/>
          <w:shd w:fill="FFFFFF" w:val="clear"/>
          <w:rtl w:val="true"/>
        </w:rPr>
        <w:t>בעבירות מסוג זה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גלום סיכון רב לשימוש בנשק שאינו חוקי על ידי המחזיק בו לצורך ביצוען של עבירות פליליות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והוא עלול להגיע לגורמים עברייניים העוסקים בפעילות פלילית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או אף חמור מכך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 xml:space="preserve">, </w:t>
      </w:r>
      <w:r>
        <w:rPr>
          <w:rFonts w:ascii="David" w:hAnsi="David" w:eastAsia="Calibri"/>
          <w:color w:val="000000"/>
          <w:shd w:fill="FFFFFF" w:val="clear"/>
          <w:rtl w:val="true"/>
        </w:rPr>
        <w:t>לביצוע עבירות ביטחון</w:t>
      </w:r>
      <w:r>
        <w:rPr>
          <w:rFonts w:eastAsia="Calibri" w:cs="David" w:ascii="David" w:hAnsi="David"/>
          <w:color w:val="000000"/>
          <w:shd w:fill="FFFFFF" w:val="clear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המדובר ב</w:t>
      </w:r>
      <w:r>
        <w:rPr>
          <w:rFonts w:ascii="Arial" w:hAnsi="Arial" w:cs="Arial"/>
          <w:rtl w:val="true"/>
        </w:rPr>
        <w:t xml:space="preserve">החזקה של </w:t>
      </w:r>
      <w:r>
        <w:rPr>
          <w:rFonts w:ascii="Arial" w:hAnsi="Arial" w:cs="Arial"/>
          <w:rtl w:val="true"/>
        </w:rPr>
        <w:t>רובה ציד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אשר יש בכוחו </w:t>
      </w:r>
      <w:r>
        <w:rPr>
          <w:rFonts w:ascii="Arial" w:hAnsi="Arial" w:cs="Arial"/>
          <w:rtl w:val="true"/>
        </w:rPr>
        <w:t>ל</w:t>
      </w:r>
      <w:r>
        <w:rPr>
          <w:rFonts w:ascii="Arial" w:hAnsi="Arial" w:cs="Arial"/>
          <w:rtl w:val="true"/>
        </w:rPr>
        <w:t>גרום נזק משמעותי ל</w:t>
      </w:r>
      <w:r>
        <w:rPr>
          <w:rFonts w:ascii="Arial" w:hAnsi="Arial" w:cs="Arial"/>
          <w:rtl w:val="true"/>
        </w:rPr>
        <w:t>אדם או בעל חיים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ההחזקה מיוחסת לשני הנאשמים בחצר הבית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וכתב האישום </w:t>
      </w:r>
      <w:r>
        <w:rPr>
          <w:rFonts w:ascii="Arial" w:hAnsi="Arial" w:cs="Arial"/>
          <w:rtl w:val="true"/>
        </w:rPr>
        <w:t>אינו מ</w:t>
      </w:r>
      <w:r>
        <w:rPr>
          <w:rFonts w:ascii="Arial" w:hAnsi="Arial" w:cs="Arial"/>
          <w:rtl w:val="true"/>
        </w:rPr>
        <w:t>פרט את המניע ל</w:t>
      </w:r>
      <w:r>
        <w:rPr>
          <w:rFonts w:ascii="Arial" w:hAnsi="Arial" w:cs="Arial"/>
          <w:rtl w:val="true"/>
        </w:rPr>
        <w:t>אחזקת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פוטנציאל </w:t>
      </w:r>
      <w:r>
        <w:rPr>
          <w:rFonts w:ascii="Arial" w:hAnsi="Arial" w:cs="Arial"/>
          <w:rtl w:val="true"/>
        </w:rPr>
        <w:t xml:space="preserve">הנזק מתעצם לנוכח החזקת אביזרי תחמושת </w:t>
      </w:r>
      <w:r>
        <w:rPr>
          <w:rFonts w:ascii="Arial" w:hAnsi="Arial" w:cs="Arial"/>
          <w:rtl w:val="true"/>
        </w:rPr>
        <w:t>ה</w:t>
      </w:r>
      <w:r>
        <w:rPr>
          <w:rFonts w:ascii="Arial" w:hAnsi="Arial" w:cs="Arial"/>
          <w:rtl w:val="true"/>
        </w:rPr>
        <w:t>תואמים</w:t>
      </w:r>
      <w:r>
        <w:rPr>
          <w:rFonts w:ascii="Arial" w:hAnsi="Arial" w:cs="Arial"/>
          <w:rtl w:val="true"/>
        </w:rPr>
        <w:t xml:space="preserve"> לרובה הציד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מה שמגדיל את פוטנציאל השימוש המ</w:t>
      </w:r>
      <w:r>
        <w:rPr>
          <w:rFonts w:ascii="Arial" w:hAnsi="Arial" w:cs="Arial"/>
          <w:rtl w:val="true"/>
        </w:rPr>
        <w:t>יי</w:t>
      </w:r>
      <w:r>
        <w:rPr>
          <w:rFonts w:ascii="Arial" w:hAnsi="Arial" w:cs="Arial"/>
          <w:rtl w:val="true"/>
        </w:rPr>
        <w:t>די ב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חומרת המעשה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לצד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המדובר במספר קליעים בודדים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במספר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בתרמיל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במסגרת </w:t>
      </w:r>
      <w:hyperlink r:id="rId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5613/20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אלהוזייל נגד 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25.8.2020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ציין בית המשפט את הדברים הבאים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start="851" w:end="851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לגופם של דברים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עבירות בנשק הפכו בשנים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למרבה הצער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לתופעה נפוצה בקרב אוכלוסיות שונות בחברה הישראלית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המביאה לעתים מזומנות לפגיעה בחפים מפשע ולאובדן חיי אדם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בית משפט זה שב וקבע כי מתחייבת החמרה ממשית בענישה על עבירות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מנת לשדר מסר מרתיע מפני ביצוען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למשל ב</w:t>
      </w:r>
      <w:hyperlink r:id="rId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סובח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פסקאות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לחוות דעתי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5.11.2019</w:t>
      </w:r>
      <w:r>
        <w:rPr>
          <w:rFonts w:cs="Arial" w:ascii="Arial" w:hAnsi="Arial"/>
          <w:rtl w:val="true"/>
        </w:rPr>
        <w:t xml:space="preserve">); </w:t>
      </w:r>
      <w:hyperlink r:id="rId1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7344/18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יד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21.10.2018</w:t>
      </w:r>
      <w:r>
        <w:rPr>
          <w:rFonts w:cs="Arial" w:ascii="Arial" w:hAnsi="Arial"/>
          <w:rtl w:val="true"/>
        </w:rPr>
        <w:t>))".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Arial" w:hAnsi="Arial" w:cs="Arial"/>
          <w:rtl w:val="true"/>
        </w:rPr>
        <w:t>וראו גם</w:t>
      </w:r>
      <w:r>
        <w:rPr>
          <w:rFonts w:cs="Arial" w:ascii="Arial" w:hAnsi="Arial"/>
          <w:rtl w:val="true"/>
        </w:rPr>
        <w:t xml:space="preserve">: 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8416/09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חרבוש ואח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9.6.2010</w:t>
      </w:r>
      <w:r>
        <w:rPr>
          <w:rFonts w:cs="Arial" w:ascii="Arial" w:hAnsi="Arial"/>
          <w:rtl w:val="true"/>
        </w:rPr>
        <w:t>):</w:t>
      </w:r>
    </w:p>
    <w:p>
      <w:pPr>
        <w:pStyle w:val="Normal"/>
        <w:spacing w:lineRule="auto" w:line="360"/>
        <w:ind w:start="851" w:end="851"/>
        <w:jc w:val="both"/>
        <w:rPr/>
      </w:pP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חומרתה של עבירת החזקת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מקורה בכך שעבירה זאת אינה נעשית לרוב אלא כדי לאפשר ביצוען של עבירות אחרות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שמעצם טבעו של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כרוכות באלימות או בהפחדה</w:t>
      </w:r>
      <w:r>
        <w:rPr>
          <w:rFonts w:cs="Arial" w:ascii="Arial" w:hAnsi="Arial"/>
          <w:rtl w:val="true"/>
        </w:rPr>
        <w:t xml:space="preserve">. ... </w:t>
      </w:r>
      <w:r>
        <w:rPr>
          <w:rFonts w:ascii="Arial" w:hAnsi="Arial" w:cs="Arial"/>
          <w:rtl w:val="true"/>
        </w:rPr>
        <w:t>כפי שציינה חברתי הנשיאה 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ביניש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המציאות השוררת בארץ המתבטאת בזמינותו של נשק חם ורב עוצמה שיש עמו פוטנציאל להסלמת האלימות העבריינית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מחייבת מתן ביטוי עונשי הולם והחמרה ברמת הענישה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ראו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פ </w:t>
      </w:r>
      <w:hyperlink r:id="rId12">
        <w:r>
          <w:rPr>
            <w:rStyle w:val="Hyperlink"/>
            <w:rFonts w:cs="Arial" w:ascii="Arial" w:hAnsi="Arial"/>
            <w:color w:val="0000FF"/>
            <w:u w:val="single"/>
          </w:rPr>
          <w:t>1332/04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 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פס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סעיף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19.4.04</w:t>
      </w:r>
      <w:r>
        <w:rPr>
          <w:rFonts w:cs="Arial" w:ascii="Arial" w:hAnsi="Arial"/>
          <w:rtl w:val="true"/>
        </w:rPr>
        <w:t xml:space="preserve">)). </w:t>
      </w:r>
      <w:r>
        <w:rPr>
          <w:rFonts w:ascii="Arial" w:hAnsi="Arial" w:cs="Arial"/>
          <w:rtl w:val="true"/>
        </w:rPr>
        <w:t>יש לעשות כן עוד בטרם ייעשה באקדח שימוש קטלני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באמצעות הרחקת המחזיק בו מן החברה לפרק זמן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והעברת מסר מרתיע באמצעות עונש מאסר ממשי לריצוי בפועל</w:t>
      </w:r>
      <w:r>
        <w:rPr>
          <w:rFonts w:cs="Arial" w:ascii="Arial" w:hAnsi="Arial"/>
          <w:rtl w:val="true"/>
        </w:rPr>
        <w:t>...".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סקירת מדיניות הענישה הנהוגה בעבירת החזקת נשק מלמדת על טווח ענישה רחב התלוי לרוב בנסיבותיו של כל מקרה ומקרה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3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545/20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3.5.21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נדחה  ערעור על חומרת עונש של נאשם עליו הוטלו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שהמערער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נעדר רישום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הורשע באחזקה</w:t>
      </w:r>
      <w:r>
        <w:rPr>
          <w:rFonts w:cs="David" w:ascii="David" w:hAnsi="David"/>
          <w:rtl w:val="true"/>
        </w:rPr>
        <w:t xml:space="preserve">/ </w:t>
      </w:r>
      <w:r>
        <w:rPr>
          <w:rFonts w:ascii="David" w:hAnsi="David"/>
          <w:rtl w:val="true"/>
        </w:rPr>
        <w:t>נשיאת אקדח ומחסנית תואמת ו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50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>."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5604/11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נאסר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5.10.11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נדחה ערעור על חומרת עונשו של נאשם עליו הוטלו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לאחר שהמערער הורשע בביצוע עבירה של החזקת נשק ותחמושת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אקדח ומחסנית לאקדח ובה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6294/10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אלקיעאן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 xml:space="preserve">נבו </w:t>
      </w:r>
      <w:r>
        <w:rPr>
          <w:rFonts w:cs="David" w:ascii="David" w:hAnsi="David"/>
        </w:rPr>
        <w:t>13.2.11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נדחה ערעור על חומרת עונשם של נאשמים עליהם הוטלו </w:t>
      </w:r>
      <w:r>
        <w:rPr>
          <w:rFonts w:cs="David" w:ascii="David" w:hAnsi="David"/>
        </w:rPr>
        <w:t>10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בגין ביצוע עבירה של החזקת נשק ותחמושת שלא כדין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הנאשמים נתפסו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כל אחד מהם החזיק באקדח טעון ומחסנית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וכן הנאשם 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החזיק בכיס מעילו מחסנית נוספת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1246/17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מטר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12.3.2017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>נדחתה בקשת רשות ערעור של נאשם שהורשע בהחזקת אקדח ותחמושת בביתו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שבית משפט מחוזי החמיר בעונשו של הנאשם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חלף שישה חודשי מאסר בדרך של עבודות שירות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56010-03-18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אלאסד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27.6.18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 xml:space="preserve">דחה בית המשפט המחוזי ערעורו של נאשם כבן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החזיק בביתו אקדח ללא תחמושת ונדון לתשעה חודשי מאסר בפועל ועונשים נלווים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ב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ש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56305-02-20</w:t>
        </w:r>
      </w:hyperlink>
      <w:r>
        <w:rPr>
          <w:rFonts w:cs="Arial" w:ascii="Arial" w:hAnsi="Arial"/>
          <w:rtl w:val="true"/>
        </w:rPr>
        <w:t xml:space="preserve">‏ </w:t>
      </w:r>
      <w:r>
        <w:rPr>
          <w:rFonts w:ascii="Arial" w:hAnsi="Arial" w:cs="Arial"/>
          <w:b/>
          <w:b/>
          <w:bCs/>
          <w:rtl w:val="true"/>
        </w:rPr>
        <w:t>אלקריעאן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18.8.20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נדון נאשם ללא עבר פלילי שברכבו נמצא אקדח ומחסנית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שבין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ועד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ערכאת הערעור הפחיתה את עונשו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761/07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מיכאל אדרי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22.02.07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המערער נהג ברכב ונתפס מחזיק באקדח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ותחמושת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כשנעצר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הזדהה כאחר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הורשע בהחזקת נשק שלא כדין ובהפרעה לשוטר במילוי תפקידו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נגזרו עליו בבית המשפט המחוזי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ובמסגרת ערעור המדינה על קולת העונש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ונוכח רישום פלילי משמעותי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הוחמר עונשו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</w:rPr>
          <w:t>18780-06-14</w:t>
        </w:r>
      </w:hyperlink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נבו </w:t>
      </w:r>
      <w:r>
        <w:rPr>
          <w:rFonts w:cs="Arial" w:ascii="Arial" w:hAnsi="Arial"/>
        </w:rPr>
        <w:t>14.9.2014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ביחס לנאשם שהחזיק בביתו שני אקדחים טעונים במחסניות עם כדורים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ובנוסף בשתי מחסניות ריקות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נקבע מתחם החל מ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720" w:end="0"/>
        <w:contextualSpacing/>
        <w:jc w:val="both"/>
        <w:rPr>
          <w:rFonts w:ascii="David" w:hAnsi="David" w:cs="David"/>
        </w:rPr>
      </w:pPr>
      <w:hyperlink r:id="rId21">
        <w:r>
          <w:rPr>
            <w:rStyle w:val="Hyperlink"/>
            <w:rFonts w:ascii="David" w:hAnsi="David"/>
            <w:color w:val="0000FF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כ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ס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u w:val="single"/>
          </w:rPr>
          <w:t>14044-03-20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מדינת ישראל נ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קטאווי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15.12.20</w:t>
      </w:r>
      <w:r>
        <w:rPr>
          <w:rFonts w:cs="David" w:ascii="David" w:hAnsi="David"/>
          <w:rtl w:val="true"/>
        </w:rPr>
        <w:t xml:space="preserve">) – </w:t>
      </w:r>
      <w:r>
        <w:rPr>
          <w:rFonts w:ascii="David" w:hAnsi="David"/>
          <w:rtl w:val="true"/>
        </w:rPr>
        <w:t>הנאשם הורשע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לפי הודאתו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בהחזקת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לאחר שהחזיק בתת מקלע מאולתר מסוג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קרלו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עטוף ומוסלק במשאית שעמדה בסמוך לביתו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ובמחסנית תואמת ובה </w:t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כדורים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נקבע מתחם עונש הולם הנע בין </w:t>
      </w:r>
      <w:r>
        <w:rPr>
          <w:rFonts w:cs="David" w:ascii="David" w:hAnsi="David"/>
        </w:rPr>
        <w:t>15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36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והוטלו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הופעל מאסר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תנאי בן </w:t>
      </w:r>
      <w:r>
        <w:rPr>
          <w:rFonts w:cs="David" w:ascii="David" w:hAnsi="David"/>
        </w:rPr>
        <w:t>8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חלקו בחופף וחלקו במצטבר כך שסה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 xml:space="preserve">כ </w:t>
      </w:r>
      <w:r>
        <w:rPr>
          <w:rFonts w:ascii="David" w:hAnsi="David"/>
          <w:rtl w:val="true"/>
        </w:rPr>
        <w:t xml:space="preserve">הוטלו על </w:t>
      </w:r>
      <w:r>
        <w:rPr>
          <w:rFonts w:ascii="David" w:hAnsi="David"/>
          <w:rtl w:val="true"/>
        </w:rPr>
        <w:t xml:space="preserve">הנאשם </w:t>
      </w:r>
      <w:r>
        <w:rPr>
          <w:rFonts w:cs="David" w:ascii="David" w:hAnsi="David"/>
        </w:rPr>
        <w:t>26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ומאסר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תנאי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ind w:hanging="390" w:start="39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בהתאם למגמת הפסיקה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להחמיר בענישה בעבירות נשק ככלל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ובשים לב לנסיבות האירוע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סוג הנשק שהינו נשק ארוך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והתחמושת התואמת שנתפסה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מדיניות הענישה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ראיתי לקבוע את מתחם העונש ההולם החל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ועד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5"/>
        </w:numPr>
        <w:shd w:fill="FFFFFF" w:val="clear"/>
        <w:spacing w:lineRule="atLeast" w:line="360" w:before="0" w:after="160"/>
        <w:ind w:hanging="390" w:start="39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בבחינת העונש המתאים לנאשמים יש להביא בחשבון את הנסיבות הבאות</w:t>
      </w:r>
      <w:r>
        <w:rPr>
          <w:rFonts w:cs="David" w:ascii="David" w:hAnsi="David"/>
          <w:color w:val="000000"/>
          <w:rtl w:val="true"/>
        </w:rPr>
        <w:t xml:space="preserve">: </w:t>
      </w:r>
      <w:r>
        <w:rPr>
          <w:rFonts w:ascii="David" w:hAnsi="David"/>
          <w:color w:val="000000"/>
          <w:rtl w:val="true"/>
        </w:rPr>
        <w:t>הנאשמים נטלו אחריות על מעשיהם בבית המשפט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והביעו חרטה על ביצוע העבירה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hd w:fill="FFFFFF" w:val="clear"/>
        <w:spacing w:lineRule="atLeast" w:line="360" w:before="0" w:after="160"/>
        <w:ind w:hanging="390" w:start="39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כבן </w:t>
      </w:r>
      <w:r>
        <w:rPr>
          <w:rFonts w:cs="David" w:ascii="David" w:hAnsi="David"/>
          <w:color w:val="000000"/>
        </w:rPr>
        <w:t>27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נעדר רישום פלילי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כבן </w:t>
      </w:r>
      <w:r>
        <w:rPr>
          <w:rFonts w:cs="David" w:ascii="David" w:hAnsi="David"/>
          <w:color w:val="000000"/>
        </w:rPr>
        <w:t>28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לחובתו </w:t>
      </w:r>
      <w:r>
        <w:rPr>
          <w:rFonts w:ascii="Arial" w:hAnsi="Arial" w:cs="Arial"/>
          <w:rtl w:val="true"/>
        </w:rPr>
        <w:t>רישום פלילי</w:t>
      </w:r>
      <w:r>
        <w:rPr>
          <w:rFonts w:ascii="Arial" w:hAnsi="Arial" w:cs="Arial"/>
          <w:rtl w:val="true"/>
        </w:rPr>
        <w:t xml:space="preserve"> משמעותי בעבירות של סיוע לשוד מזוין ומסחר בחלקי רכב בגינם נדון בשנת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מתיק זה תלוי ועומד נגדו מאסר על תנאי להפעלה למשך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בשנת </w:t>
      </w:r>
      <w:r>
        <w:rPr>
          <w:rFonts w:cs="Arial" w:ascii="Arial" w:hAnsi="Arial"/>
        </w:rPr>
        <w:t>2016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ריצה הנאשם 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בגין עבירות של גילוי הזדהות עם ארגון טרור ופרסום דברי הסתה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hd w:fill="FFFFFF" w:val="clear"/>
        <w:spacing w:lineRule="atLeast" w:line="360" w:before="0" w:after="160"/>
        <w:ind w:hanging="390" w:start="390" w:end="0"/>
        <w:contextualSpacing/>
        <w:jc w:val="both"/>
        <w:rPr>
          <w:rFonts w:ascii="David" w:hAnsi="David" w:cs="David"/>
          <w:color w:val="000000"/>
        </w:rPr>
      </w:pPr>
      <w:r>
        <w:rPr>
          <w:rFonts w:ascii="Arial" w:hAnsi="Arial" w:cs="Arial"/>
          <w:rtl w:val="true"/>
        </w:rPr>
        <w:t>במסגרת שיקוליי את נסיבותיהם האישיות כפי שפורטו על ידי סנגוריהם והנאשמים עצמם</w:t>
      </w:r>
      <w:r>
        <w:rPr>
          <w:rFonts w:cs="Arial" w:ascii="Arial" w:hAnsi="Arial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היה נתון במעצר </w:t>
      </w:r>
      <w:r>
        <w:rPr>
          <w:rFonts w:ascii="Arial" w:hAnsi="Arial" w:cs="Arial"/>
          <w:rtl w:val="true"/>
        </w:rPr>
        <w:t xml:space="preserve">בגין תיק זה מיום </w:t>
      </w:r>
      <w:r>
        <w:rPr>
          <w:rFonts w:cs="Arial" w:ascii="Arial" w:hAnsi="Arial"/>
        </w:rPr>
        <w:t>15.3.2023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ליום </w:t>
      </w:r>
      <w:r>
        <w:rPr>
          <w:rFonts w:cs="Arial" w:ascii="Arial" w:hAnsi="Arial"/>
        </w:rPr>
        <w:t>2.4.2023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ונעצר שוב החל מיום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10.4.2023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נתון במעצר החל מיום </w:t>
      </w:r>
      <w:r>
        <w:rPr>
          <w:rFonts w:cs="Arial" w:ascii="Arial" w:hAnsi="Arial"/>
        </w:rPr>
        <w:t>21.3.2023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5"/>
        </w:numPr>
        <w:shd w:fill="FFFFFF" w:val="clear"/>
        <w:spacing w:lineRule="atLeast" w:line="360"/>
        <w:ind w:hanging="390"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מהטעמים אותם פירטתי לעיל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ראיתי לקבוע את עונש</w:t>
      </w:r>
      <w:r>
        <w:rPr>
          <w:rFonts w:ascii="David" w:hAnsi="David"/>
          <w:color w:val="000000"/>
          <w:rtl w:val="true"/>
        </w:rPr>
        <w:t xml:space="preserve">ו של נאשם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בתחתית המתחם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hd w:fill="FFFFFF" w:val="clear"/>
        <w:spacing w:lineRule="atLeast" w:line="360"/>
        <w:ind w:hanging="390"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בכל הנוגע לנאשם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הרי שרישומו הפלילי מבסס מידת חומרה נוספת למעשה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בשים לב לאופי העבירות בהן הורשע בעבר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 אף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ומשום העובדה שהמעשה מיוחס לשניהם באופן זהה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ראיתי לקבוע את עונשו של הנאשם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בחלקו הבינוני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תחתון של 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שאם לא 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היה מקום לקבוע את עונשו בחלקו האמצעי של המתחם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ונוכח המחלוקת שהתגלעה בין הצדדים ביחס לאופן הפעלת המאסר המותנה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הרי שראיתי לאזן במחלוקת זו</w:t>
      </w:r>
      <w:r>
        <w:rPr>
          <w:rFonts w:cs="David" w:ascii="David" w:hAnsi="David"/>
          <w:color w:val="000000"/>
          <w:rtl w:val="true"/>
        </w:rPr>
        <w:t xml:space="preserve">- </w:t>
      </w:r>
      <w:r>
        <w:rPr>
          <w:rFonts w:ascii="David" w:hAnsi="David"/>
          <w:color w:val="000000"/>
          <w:rtl w:val="true"/>
        </w:rPr>
        <w:t>בדרך של הפעלת המאסר על תנאי חציו במצטבר וחציו בחופף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numPr>
          <w:ilvl w:val="0"/>
          <w:numId w:val="5"/>
        </w:numPr>
        <w:shd w:fill="FFFFFF" w:val="clear"/>
        <w:spacing w:lineRule="atLeast" w:line="360"/>
        <w:ind w:hanging="390" w:start="39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אשר על כן אני מטיל על הנאשמים את העונשים הבאים</w:t>
      </w:r>
      <w:r>
        <w:rPr>
          <w:rFonts w:cs="David" w:ascii="David" w:hAnsi="David"/>
          <w:color w:val="000000"/>
          <w:rtl w:val="true"/>
        </w:rPr>
        <w:t xml:space="preserve">: </w:t>
      </w:r>
    </w:p>
    <w:p>
      <w:pPr>
        <w:pStyle w:val="Normal"/>
        <w:shd w:fill="FFFFFF" w:val="clear"/>
        <w:spacing w:lineRule="atLeast" w:line="360"/>
        <w:ind w:firstLine="720"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color w:val="000000"/>
          <w:u w:val="single"/>
        </w:rPr>
        <w:t>1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:</w:t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360"/>
        <w:ind w:hanging="360" w:start="111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שמניינם בניכוי ימי מעצרו של הנאשם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360"/>
        <w:ind w:hanging="360" w:start="1110" w:end="0"/>
        <w:jc w:val="both"/>
        <w:rPr>
          <w:rFonts w:ascii="David" w:hAnsi="David" w:cs="David"/>
        </w:rPr>
      </w:pP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על תנאי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שלא יעבור משך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שנים מיום שחרורו מן המאסר עבירה </w:t>
      </w:r>
      <w:r>
        <w:rPr>
          <w:rFonts w:ascii="David" w:hAnsi="David"/>
          <w:rtl w:val="true"/>
        </w:rPr>
        <w:t xml:space="preserve">בניגוד </w:t>
      </w:r>
      <w:hyperlink r:id="rId22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3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3"/>
        </w:numPr>
        <w:shd w:fill="FFFFFF" w:val="clear"/>
        <w:spacing w:lineRule="atLeast" w:line="360"/>
        <w:ind w:hanging="360" w:start="111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קנס בסך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 xml:space="preserve">₪ </w:t>
      </w:r>
      <w:r>
        <w:rPr>
          <w:rFonts w:ascii="David" w:hAnsi="David"/>
          <w:color w:val="000000"/>
          <w:rtl w:val="true"/>
        </w:rPr>
        <w:t>אשר ישולם עד ליום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4.8.2024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start="1110" w:end="0"/>
        <w:jc w:val="both"/>
        <w:rPr>
          <w:rFonts w:ascii="David" w:hAnsi="David" w:cs="David"/>
          <w:sz w:val="20"/>
          <w:szCs w:val="20"/>
        </w:rPr>
      </w:pPr>
      <w:r>
        <w:rPr>
          <w:rFonts w:ascii="David" w:hAnsi="David"/>
          <w:sz w:val="20"/>
          <w:sz w:val="20"/>
          <w:szCs w:val="20"/>
          <w:rtl w:val="true"/>
        </w:rPr>
        <w:t>החוב מועבר למרכז לגביית קנסות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>אגרות והוצאות ברשות האכיפה והגבייה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>בהתאם למועדים והתשלומים שקבע בית המשפט</w:t>
      </w:r>
      <w:r>
        <w:rPr>
          <w:rFonts w:cs="David" w:ascii="David" w:hAnsi="David"/>
          <w:sz w:val="20"/>
          <w:szCs w:val="20"/>
          <w:rtl w:val="true"/>
        </w:rPr>
        <w:t>.</w:t>
      </w:r>
    </w:p>
    <w:p>
      <w:pPr>
        <w:pStyle w:val="Normal"/>
        <w:spacing w:lineRule="auto" w:line="360"/>
        <w:ind w:start="1110" w:end="0"/>
        <w:jc w:val="both"/>
        <w:rPr>
          <w:rFonts w:ascii="David" w:hAnsi="David" w:cs="David"/>
          <w:sz w:val="20"/>
          <w:szCs w:val="20"/>
        </w:rPr>
      </w:pPr>
      <w:r>
        <w:rPr>
          <w:rFonts w:ascii="David" w:hAnsi="David"/>
          <w:sz w:val="20"/>
          <w:sz w:val="20"/>
          <w:szCs w:val="20"/>
          <w:rtl w:val="true"/>
        </w:rPr>
        <w:t>ניתן יהיה לשלם את הקנס</w:t>
      </w:r>
      <w:r>
        <w:rPr>
          <w:rFonts w:cs="David" w:ascii="David" w:hAnsi="David"/>
          <w:sz w:val="20"/>
          <w:szCs w:val="20"/>
          <w:rtl w:val="true"/>
        </w:rPr>
        <w:t xml:space="preserve">/ </w:t>
      </w:r>
      <w:r>
        <w:rPr>
          <w:rFonts w:ascii="David" w:hAnsi="David"/>
          <w:sz w:val="20"/>
          <w:sz w:val="20"/>
          <w:szCs w:val="20"/>
          <w:rtl w:val="true"/>
        </w:rPr>
        <w:t>פיצוי</w:t>
      </w:r>
      <w:r>
        <w:rPr>
          <w:rFonts w:cs="David" w:ascii="David" w:hAnsi="David"/>
          <w:sz w:val="20"/>
          <w:szCs w:val="20"/>
          <w:rtl w:val="true"/>
        </w:rPr>
        <w:t xml:space="preserve">/ </w:t>
      </w:r>
      <w:r>
        <w:rPr>
          <w:rFonts w:ascii="David" w:hAnsi="David"/>
          <w:sz w:val="20"/>
          <w:sz w:val="20"/>
          <w:szCs w:val="20"/>
          <w:rtl w:val="true"/>
        </w:rPr>
        <w:t>ההוצאות כעבור שלושה ימים מיום מתן ההחלטה</w:t>
      </w:r>
      <w:r>
        <w:rPr>
          <w:rFonts w:cs="David" w:ascii="David" w:hAnsi="David"/>
          <w:sz w:val="20"/>
          <w:szCs w:val="20"/>
          <w:rtl w:val="true"/>
        </w:rPr>
        <w:t xml:space="preserve">/  </w:t>
      </w:r>
      <w:r>
        <w:rPr>
          <w:rFonts w:ascii="David" w:hAnsi="David"/>
          <w:sz w:val="20"/>
          <w:sz w:val="20"/>
          <w:szCs w:val="20"/>
          <w:rtl w:val="true"/>
        </w:rPr>
        <w:t>גזר הדין לחשבון המרכז לגביית קנסות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r>
        <w:rPr>
          <w:rFonts w:ascii="David" w:hAnsi="David"/>
          <w:sz w:val="20"/>
          <w:sz w:val="20"/>
          <w:szCs w:val="20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sz w:val="20"/>
          <w:szCs w:val="20"/>
          <w:rtl w:val="true"/>
        </w:rPr>
        <w:t>: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70"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>בכרטיס אשראי</w:t>
      </w:r>
      <w:r>
        <w:rPr>
          <w:rFonts w:ascii="David" w:hAnsi="David"/>
          <w:sz w:val="20"/>
          <w:sz w:val="20"/>
          <w:szCs w:val="20"/>
          <w:rtl w:val="true"/>
        </w:rPr>
        <w:t xml:space="preserve"> – באתר המקוון של רשות האכיפה והגבייה</w:t>
      </w:r>
      <w:r>
        <w:rPr>
          <w:rFonts w:cs="David" w:ascii="David" w:hAnsi="David"/>
          <w:sz w:val="20"/>
          <w:szCs w:val="20"/>
          <w:rtl w:val="true"/>
        </w:rPr>
        <w:t xml:space="preserve">, </w:t>
      </w:r>
      <w:hyperlink r:id="rId24">
        <w:r>
          <w:rPr>
            <w:rStyle w:val="Hyperlink"/>
            <w:rFonts w:cs="David" w:ascii="David" w:hAnsi="David"/>
            <w:sz w:val="20"/>
            <w:szCs w:val="20"/>
          </w:rPr>
          <w:t>www.eca.gov.il</w:t>
        </w:r>
      </w:hyperlink>
      <w:r>
        <w:rPr>
          <w:rFonts w:cs="David" w:ascii="David" w:hAnsi="David"/>
          <w:sz w:val="20"/>
          <w:szCs w:val="20"/>
          <w:rtl w:val="true"/>
        </w:rPr>
        <w:t xml:space="preserve"> </w:t>
      </w:r>
      <w:r>
        <w:rPr>
          <w:rFonts w:cs="David" w:ascii="David" w:hAnsi="David"/>
          <w:sz w:val="20"/>
          <w:szCs w:val="20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70"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 xml:space="preserve">מוקד שירות טלפוני בשרות עצמי </w:t>
      </w:r>
      <w:r>
        <w:rPr>
          <w:rFonts w:cs="David" w:ascii="David" w:hAnsi="David"/>
          <w:b/>
          <w:bCs/>
          <w:sz w:val="20"/>
          <w:szCs w:val="20"/>
          <w:rtl w:val="true"/>
        </w:rPr>
        <w:t>(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>מרכז גבייה</w:t>
      </w:r>
      <w:r>
        <w:rPr>
          <w:rFonts w:cs="David" w:ascii="David" w:hAnsi="David"/>
          <w:b/>
          <w:bCs/>
          <w:sz w:val="20"/>
          <w:szCs w:val="20"/>
          <w:rtl w:val="true"/>
        </w:rPr>
        <w:t xml:space="preserve">)  –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 xml:space="preserve">בטלפון </w:t>
      </w:r>
      <w:r>
        <w:rPr>
          <w:rFonts w:cs="David" w:ascii="David" w:hAnsi="David"/>
          <w:b/>
          <w:bCs/>
          <w:sz w:val="20"/>
          <w:szCs w:val="20"/>
        </w:rPr>
        <w:t>35592</w:t>
      </w:r>
      <w:r>
        <w:rPr>
          <w:rFonts w:cs="David" w:ascii="David" w:hAnsi="David"/>
          <w:b/>
          <w:bCs/>
          <w:sz w:val="20"/>
          <w:szCs w:val="20"/>
          <w:rtl w:val="true"/>
        </w:rPr>
        <w:t xml:space="preserve">* </w:t>
      </w: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 xml:space="preserve">או בטלפון </w:t>
      </w:r>
      <w:r>
        <w:rPr>
          <w:rFonts w:cs="David" w:ascii="David" w:hAnsi="David"/>
          <w:b/>
          <w:bCs/>
          <w:sz w:val="20"/>
          <w:szCs w:val="20"/>
        </w:rPr>
        <w:t>073-2055000</w:t>
      </w:r>
    </w:p>
    <w:p>
      <w:pPr>
        <w:pStyle w:val="Normal"/>
        <w:numPr>
          <w:ilvl w:val="0"/>
          <w:numId w:val="1"/>
        </w:numPr>
        <w:spacing w:lineRule="auto" w:line="360"/>
        <w:ind w:hanging="360" w:start="1470"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ascii="David" w:hAnsi="David"/>
          <w:b/>
          <w:b/>
          <w:bCs/>
          <w:sz w:val="20"/>
          <w:sz w:val="20"/>
          <w:szCs w:val="20"/>
          <w:rtl w:val="true"/>
        </w:rPr>
        <w:t>במזומן בכל סניף של בנק הדואר</w:t>
      </w:r>
      <w:r>
        <w:rPr>
          <w:rFonts w:ascii="David" w:hAnsi="David"/>
          <w:sz w:val="20"/>
          <w:sz w:val="20"/>
          <w:szCs w:val="20"/>
          <w:rtl w:val="true"/>
        </w:rPr>
        <w:t xml:space="preserve"> – בהצגת תעודת זהות בלבד </w:t>
      </w:r>
      <w:r>
        <w:rPr>
          <w:rFonts w:cs="David" w:ascii="David" w:hAnsi="David"/>
          <w:sz w:val="20"/>
          <w:szCs w:val="20"/>
          <w:rtl w:val="true"/>
        </w:rPr>
        <w:t>(</w:t>
      </w:r>
      <w:r>
        <w:rPr>
          <w:rFonts w:ascii="David" w:hAnsi="David"/>
          <w:sz w:val="20"/>
          <w:sz w:val="20"/>
          <w:szCs w:val="20"/>
          <w:rtl w:val="true"/>
        </w:rPr>
        <w:t>אין צורך בשוברי תשלום</w:t>
      </w:r>
      <w:r>
        <w:rPr>
          <w:rFonts w:cs="David" w:ascii="David" w:hAnsi="David"/>
          <w:sz w:val="20"/>
          <w:szCs w:val="20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0"/>
          <w:szCs w:val="20"/>
        </w:rPr>
      </w:pPr>
      <w:r>
        <w:rPr>
          <w:rFonts w:cs="David" w:ascii="David" w:hAnsi="David"/>
          <w:b/>
          <w:bCs/>
          <w:sz w:val="20"/>
          <w:szCs w:val="20"/>
          <w:rtl w:val="true"/>
        </w:rPr>
      </w:r>
    </w:p>
    <w:p>
      <w:pPr>
        <w:pStyle w:val="Normal"/>
        <w:shd w:fill="FFFFFF" w:val="clear"/>
        <w:spacing w:lineRule="atLeast" w:line="360"/>
        <w:ind w:firstLine="36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 xml:space="preserve">נאשם </w:t>
      </w:r>
      <w:r>
        <w:rPr>
          <w:rFonts w:cs="David" w:ascii="David" w:hAnsi="David"/>
          <w:b/>
          <w:bCs/>
          <w:color w:val="000000"/>
          <w:u w:val="single"/>
        </w:rPr>
        <w:t>2</w:t>
      </w:r>
      <w:r>
        <w:rPr>
          <w:rFonts w:cs="David" w:ascii="David" w:hAnsi="David"/>
          <w:b/>
          <w:bCs/>
          <w:color w:val="000000"/>
          <w:rtl w:val="true"/>
        </w:rPr>
        <w:t>: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144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18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שמניינם החל מיום מעצרו של הנאשם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14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הפעלת מאסר על תנאי למשך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חודשים כפי שנפסק בתיק מספר </w:t>
      </w:r>
      <w:r>
        <w:rPr>
          <w:rFonts w:cs="David" w:ascii="David" w:hAnsi="David"/>
          <w:color w:val="000000"/>
        </w:rPr>
        <w:t>48964-10-2020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שלום ירושלים</w:t>
      </w:r>
      <w:r>
        <w:rPr>
          <w:rFonts w:cs="David" w:ascii="David" w:hAnsi="David"/>
          <w:color w:val="000000"/>
          <w:rtl w:val="true"/>
        </w:rPr>
        <w:t xml:space="preserve">) </w:t>
      </w:r>
      <w:r>
        <w:rPr>
          <w:rFonts w:ascii="David" w:hAnsi="David"/>
          <w:color w:val="000000"/>
          <w:rtl w:val="true"/>
        </w:rPr>
        <w:t xml:space="preserve">מיום </w:t>
      </w:r>
      <w:r>
        <w:rPr>
          <w:rFonts w:cs="David" w:ascii="David" w:hAnsi="David"/>
          <w:color w:val="000000"/>
        </w:rPr>
        <w:t>3.6.2021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כך ששלושה חודשים ירוצו במצטבר ושלושה חודשים בחופף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סה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כ ירצה הנאשם </w:t>
      </w:r>
      <w:r>
        <w:rPr>
          <w:rFonts w:cs="David" w:ascii="David" w:hAnsi="David"/>
          <w:color w:val="000000"/>
        </w:rPr>
        <w:t>21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בניכוי ימי המעצר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1440" w:end="0"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על תנאי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שלא יעבור משך 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שנים מיום שחרורו מן המאסר עבירה </w:t>
      </w:r>
      <w:r>
        <w:rPr>
          <w:rFonts w:ascii="David" w:hAnsi="David"/>
          <w:rtl w:val="true"/>
        </w:rPr>
        <w:t xml:space="preserve">בניגוד </w:t>
      </w:r>
      <w:hyperlink r:id="rId25">
        <w:r>
          <w:rPr>
            <w:rStyle w:val="Hyperlink"/>
            <w:rFonts w:ascii="David" w:hAnsi="David"/>
            <w:rtl w:val="true"/>
          </w:rPr>
          <w:t xml:space="preserve">לסעיף </w:t>
        </w:r>
        <w:r>
          <w:rPr>
            <w:rStyle w:val="Hyperlink"/>
            <w:rFonts w:cs="David" w:ascii="David" w:hAnsi="David"/>
          </w:rPr>
          <w:t>144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2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cs="David" w:ascii="David" w:hAnsi="David"/>
          <w:rtl w:val="true"/>
        </w:rPr>
        <w:t>.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14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קנס בסך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6000</w:t>
      </w:r>
      <w:r>
        <w:rPr>
          <w:rFonts w:cs="David" w:ascii="David" w:hAnsi="David"/>
          <w:color w:val="000000"/>
          <w:rtl w:val="true"/>
        </w:rPr>
        <w:t xml:space="preserve"> ₪ </w:t>
      </w:r>
      <w:r>
        <w:rPr>
          <w:rFonts w:ascii="David" w:hAnsi="David"/>
          <w:color w:val="000000"/>
          <w:rtl w:val="true"/>
        </w:rPr>
        <w:t>אשר ישולם עד ליום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</w:rPr>
        <w:t>4.8.2024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hd w:fill="FFFFFF" w:val="clear"/>
        <w:spacing w:lineRule="atLeast" w:line="360"/>
        <w:ind w:start="1440" w:end="0"/>
        <w:jc w:val="both"/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/>
          <w:color w:val="000000"/>
          <w:sz w:val="20"/>
          <w:sz w:val="20"/>
          <w:szCs w:val="20"/>
          <w:rtl w:val="true"/>
        </w:rPr>
        <w:t>החוב מועבר למרכז לגביית קנסות</w:t>
      </w:r>
      <w:r>
        <w:rPr>
          <w:rFonts w:cs="David" w:ascii="David" w:hAnsi="David"/>
          <w:color w:val="000000"/>
          <w:sz w:val="20"/>
          <w:szCs w:val="20"/>
          <w:rtl w:val="true"/>
        </w:rPr>
        <w:t xml:space="preserve">, </w:t>
      </w:r>
      <w:r>
        <w:rPr>
          <w:rFonts w:ascii="David" w:hAnsi="David"/>
          <w:color w:val="000000"/>
          <w:sz w:val="20"/>
          <w:sz w:val="20"/>
          <w:szCs w:val="20"/>
          <w:rtl w:val="true"/>
        </w:rPr>
        <w:t>אגרות והוצאות ברשות האכיפה והגבייה</w:t>
      </w:r>
      <w:r>
        <w:rPr>
          <w:rFonts w:cs="David" w:ascii="David" w:hAnsi="David"/>
          <w:color w:val="000000"/>
          <w:sz w:val="20"/>
          <w:szCs w:val="20"/>
          <w:rtl w:val="true"/>
        </w:rPr>
        <w:t xml:space="preserve">, </w:t>
      </w:r>
      <w:r>
        <w:rPr>
          <w:rFonts w:ascii="David" w:hAnsi="David"/>
          <w:color w:val="000000"/>
          <w:sz w:val="20"/>
          <w:sz w:val="20"/>
          <w:szCs w:val="20"/>
          <w:rtl w:val="true"/>
        </w:rPr>
        <w:t>בהתאם למועדים והתשלומים שקבע בית המשפט</w:t>
      </w:r>
      <w:r>
        <w:rPr>
          <w:rFonts w:cs="David" w:ascii="David" w:hAnsi="David"/>
          <w:color w:val="000000"/>
          <w:sz w:val="20"/>
          <w:szCs w:val="20"/>
          <w:rtl w:val="true"/>
        </w:rPr>
        <w:t>.</w:t>
      </w:r>
    </w:p>
    <w:p>
      <w:pPr>
        <w:pStyle w:val="Normal"/>
        <w:shd w:fill="FFFFFF" w:val="clear"/>
        <w:spacing w:lineRule="atLeast" w:line="360"/>
        <w:ind w:start="1440" w:end="0"/>
        <w:jc w:val="both"/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/>
          <w:color w:val="000000"/>
          <w:sz w:val="20"/>
          <w:sz w:val="20"/>
          <w:szCs w:val="20"/>
          <w:rtl w:val="true"/>
        </w:rPr>
        <w:t>ניתן יהיה לשלם את הקנס</w:t>
      </w:r>
      <w:r>
        <w:rPr>
          <w:rFonts w:cs="David" w:ascii="David" w:hAnsi="David"/>
          <w:color w:val="000000"/>
          <w:sz w:val="20"/>
          <w:szCs w:val="20"/>
          <w:rtl w:val="true"/>
        </w:rPr>
        <w:t xml:space="preserve">/ </w:t>
      </w:r>
      <w:r>
        <w:rPr>
          <w:rFonts w:ascii="David" w:hAnsi="David"/>
          <w:color w:val="000000"/>
          <w:sz w:val="20"/>
          <w:sz w:val="20"/>
          <w:szCs w:val="20"/>
          <w:rtl w:val="true"/>
        </w:rPr>
        <w:t>פיצוי</w:t>
      </w:r>
      <w:r>
        <w:rPr>
          <w:rFonts w:cs="David" w:ascii="David" w:hAnsi="David"/>
          <w:color w:val="000000"/>
          <w:sz w:val="20"/>
          <w:szCs w:val="20"/>
          <w:rtl w:val="true"/>
        </w:rPr>
        <w:t xml:space="preserve">/ </w:t>
      </w:r>
      <w:r>
        <w:rPr>
          <w:rFonts w:ascii="David" w:hAnsi="David"/>
          <w:color w:val="000000"/>
          <w:sz w:val="20"/>
          <w:sz w:val="20"/>
          <w:szCs w:val="20"/>
          <w:rtl w:val="true"/>
        </w:rPr>
        <w:t>ההוצאות כעבור שלושה ימים מיום מתן ההחלטה</w:t>
      </w:r>
      <w:r>
        <w:rPr>
          <w:rFonts w:cs="David" w:ascii="David" w:hAnsi="David"/>
          <w:color w:val="000000"/>
          <w:sz w:val="20"/>
          <w:szCs w:val="20"/>
          <w:rtl w:val="true"/>
        </w:rPr>
        <w:t xml:space="preserve">/  </w:t>
      </w:r>
      <w:r>
        <w:rPr>
          <w:rFonts w:ascii="David" w:hAnsi="David"/>
          <w:color w:val="000000"/>
          <w:sz w:val="20"/>
          <w:sz w:val="20"/>
          <w:szCs w:val="20"/>
          <w:rtl w:val="true"/>
        </w:rPr>
        <w:t>גזר הדין לחשבון המרכז לגביית קנסות</w:t>
      </w:r>
      <w:r>
        <w:rPr>
          <w:rFonts w:cs="David" w:ascii="David" w:hAnsi="David"/>
          <w:color w:val="000000"/>
          <w:sz w:val="20"/>
          <w:szCs w:val="20"/>
          <w:rtl w:val="true"/>
        </w:rPr>
        <w:t xml:space="preserve">, </w:t>
      </w:r>
      <w:r>
        <w:rPr>
          <w:rFonts w:ascii="David" w:hAnsi="David"/>
          <w:color w:val="000000"/>
          <w:sz w:val="20"/>
          <w:sz w:val="20"/>
          <w:szCs w:val="20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color w:val="000000"/>
          <w:sz w:val="20"/>
          <w:szCs w:val="20"/>
          <w:rtl w:val="true"/>
        </w:rPr>
        <w:t>:</w:t>
      </w:r>
    </w:p>
    <w:p>
      <w:pPr>
        <w:pStyle w:val="Normal"/>
        <w:shd w:fill="FFFFFF" w:val="clear"/>
        <w:spacing w:lineRule="atLeast" w:line="360"/>
        <w:ind w:firstLine="720" w:start="720" w:end="0"/>
        <w:jc w:val="both"/>
        <w:rPr/>
      </w:pPr>
      <w:r>
        <w:rPr>
          <w:rFonts w:ascii="David" w:hAnsi="David"/>
          <w:color w:val="000000"/>
          <w:sz w:val="20"/>
          <w:sz w:val="20"/>
          <w:szCs w:val="20"/>
          <w:rtl w:val="true"/>
        </w:rPr>
        <w:t>בכרטיס אשראי – באתר המקוון של רשות האכיפה והגבייה</w:t>
      </w:r>
      <w:r>
        <w:rPr>
          <w:rFonts w:cs="David" w:ascii="David" w:hAnsi="David"/>
          <w:color w:val="000000"/>
          <w:sz w:val="20"/>
          <w:szCs w:val="20"/>
          <w:rtl w:val="true"/>
        </w:rPr>
        <w:t xml:space="preserve">, </w:t>
      </w:r>
      <w:r>
        <w:rPr>
          <w:rFonts w:cs="David" w:ascii="David" w:hAnsi="David"/>
          <w:color w:val="000000"/>
          <w:sz w:val="20"/>
          <w:szCs w:val="20"/>
        </w:rPr>
        <w:t>www.eca.gov.il</w:t>
      </w:r>
      <w:r>
        <w:rPr>
          <w:rFonts w:cs="David" w:ascii="David" w:hAnsi="David"/>
          <w:color w:val="000000"/>
          <w:sz w:val="20"/>
          <w:szCs w:val="20"/>
          <w:rtl w:val="true"/>
        </w:rPr>
        <w:t xml:space="preserve">  </w:t>
      </w:r>
    </w:p>
    <w:p>
      <w:pPr>
        <w:pStyle w:val="Normal"/>
        <w:shd w:fill="FFFFFF" w:val="clear"/>
        <w:spacing w:lineRule="atLeast" w:line="360"/>
        <w:ind w:firstLine="720" w:start="720" w:end="0"/>
        <w:jc w:val="both"/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/>
          <w:color w:val="000000"/>
          <w:sz w:val="20"/>
          <w:sz w:val="20"/>
          <w:szCs w:val="20"/>
          <w:rtl w:val="true"/>
        </w:rPr>
        <w:t xml:space="preserve">מוקד שירות טלפוני בשרות עצמי </w:t>
      </w:r>
      <w:r>
        <w:rPr>
          <w:rFonts w:cs="David" w:ascii="David" w:hAnsi="David"/>
          <w:color w:val="000000"/>
          <w:sz w:val="20"/>
          <w:szCs w:val="20"/>
          <w:rtl w:val="true"/>
        </w:rPr>
        <w:t>(</w:t>
      </w:r>
      <w:r>
        <w:rPr>
          <w:rFonts w:ascii="David" w:hAnsi="David"/>
          <w:color w:val="000000"/>
          <w:sz w:val="20"/>
          <w:sz w:val="20"/>
          <w:szCs w:val="20"/>
          <w:rtl w:val="true"/>
        </w:rPr>
        <w:t>מרכז גבייה</w:t>
      </w:r>
      <w:r>
        <w:rPr>
          <w:rFonts w:cs="David" w:ascii="David" w:hAnsi="David"/>
          <w:color w:val="000000"/>
          <w:sz w:val="20"/>
          <w:szCs w:val="20"/>
          <w:rtl w:val="true"/>
        </w:rPr>
        <w:t xml:space="preserve">)  – </w:t>
      </w:r>
      <w:r>
        <w:rPr>
          <w:rFonts w:ascii="David" w:hAnsi="David"/>
          <w:color w:val="000000"/>
          <w:sz w:val="20"/>
          <w:sz w:val="20"/>
          <w:szCs w:val="20"/>
          <w:rtl w:val="true"/>
        </w:rPr>
        <w:t xml:space="preserve">בטלפון </w:t>
      </w:r>
      <w:r>
        <w:rPr>
          <w:rFonts w:cs="David" w:ascii="David" w:hAnsi="David"/>
          <w:color w:val="000000"/>
          <w:sz w:val="20"/>
          <w:szCs w:val="20"/>
        </w:rPr>
        <w:t>35592</w:t>
      </w:r>
      <w:r>
        <w:rPr>
          <w:rFonts w:cs="David" w:ascii="David" w:hAnsi="David"/>
          <w:color w:val="000000"/>
          <w:sz w:val="20"/>
          <w:szCs w:val="20"/>
          <w:rtl w:val="true"/>
        </w:rPr>
        <w:t xml:space="preserve">* </w:t>
      </w:r>
      <w:r>
        <w:rPr>
          <w:rFonts w:ascii="David" w:hAnsi="David"/>
          <w:color w:val="000000"/>
          <w:sz w:val="20"/>
          <w:sz w:val="20"/>
          <w:szCs w:val="20"/>
          <w:rtl w:val="true"/>
        </w:rPr>
        <w:t xml:space="preserve">או בטלפון </w:t>
      </w:r>
      <w:r>
        <w:rPr>
          <w:rFonts w:cs="David" w:ascii="David" w:hAnsi="David"/>
          <w:color w:val="000000"/>
          <w:sz w:val="20"/>
          <w:szCs w:val="20"/>
        </w:rPr>
        <w:t>073-2055000</w:t>
      </w:r>
    </w:p>
    <w:p>
      <w:pPr>
        <w:pStyle w:val="Normal"/>
        <w:shd w:fill="FFFFFF" w:val="clear"/>
        <w:spacing w:lineRule="atLeast" w:line="360"/>
        <w:ind w:firstLine="720" w:start="720" w:end="0"/>
        <w:jc w:val="both"/>
        <w:rPr>
          <w:rFonts w:ascii="David" w:hAnsi="David" w:cs="David"/>
          <w:color w:val="000000"/>
          <w:sz w:val="20"/>
          <w:szCs w:val="20"/>
        </w:rPr>
      </w:pPr>
      <w:r>
        <w:rPr>
          <w:rFonts w:ascii="David" w:hAnsi="David"/>
          <w:color w:val="000000"/>
          <w:sz w:val="20"/>
          <w:sz w:val="20"/>
          <w:szCs w:val="20"/>
          <w:rtl w:val="true"/>
        </w:rPr>
        <w:t xml:space="preserve">במזומן בכל סניף של בנק הדואר – בהצגת תעודת זהות בלבד </w:t>
      </w:r>
      <w:r>
        <w:rPr>
          <w:rFonts w:cs="David" w:ascii="David" w:hAnsi="David"/>
          <w:color w:val="000000"/>
          <w:sz w:val="20"/>
          <w:szCs w:val="20"/>
          <w:rtl w:val="true"/>
        </w:rPr>
        <w:t>(</w:t>
      </w:r>
      <w:r>
        <w:rPr>
          <w:rFonts w:ascii="David" w:hAnsi="David"/>
          <w:color w:val="000000"/>
          <w:sz w:val="20"/>
          <w:sz w:val="20"/>
          <w:szCs w:val="20"/>
          <w:rtl w:val="true"/>
        </w:rPr>
        <w:t>אין צורך בשוברי תשלום</w:t>
      </w:r>
      <w:r>
        <w:rPr>
          <w:rFonts w:cs="David" w:ascii="David" w:hAnsi="David"/>
          <w:color w:val="000000"/>
          <w:sz w:val="20"/>
          <w:szCs w:val="20"/>
          <w:rtl w:val="true"/>
        </w:rPr>
        <w:t>).</w:t>
      </w:r>
    </w:p>
    <w:p>
      <w:pPr>
        <w:pStyle w:val="ListParagraph"/>
        <w:numPr>
          <w:ilvl w:val="0"/>
          <w:numId w:val="2"/>
        </w:numPr>
        <w:shd w:fill="FFFFFF" w:val="clear"/>
        <w:spacing w:lineRule="atLeast" w:line="360"/>
        <w:ind w:hanging="360" w:start="144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המוצגים יושמדו או יחולטו בהתאם להחלטת רשם המוצגים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טלפונים ניידים יוחזרו לנאשמים לאחר שפסק הדין יהפוך חלוט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54678313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 </w:t>
      </w:r>
      <w:r>
        <w:rPr>
          <w:rFonts w:eastAsia="Calibri" w:cs="David" w:ascii="David" w:hAnsi="David"/>
          <w:b/>
          <w:bCs/>
          <w:color w:val="FFFFFF"/>
          <w:sz w:val="22"/>
          <w:szCs w:val="22"/>
          <w:shd w:fill="FFFFFF" w:val="clear"/>
          <w:rtl w:val="true"/>
        </w:rPr>
        <w:tab/>
      </w:r>
      <w:r>
        <w:rPr>
          <w:rFonts w:ascii="David" w:hAnsi="David" w:eastAsia="Calibri"/>
          <w:b/>
          <w:b/>
          <w:bCs/>
          <w:color w:val="000000"/>
          <w:sz w:val="22"/>
          <w:sz w:val="22"/>
          <w:szCs w:val="22"/>
          <w:shd w:fill="FFFFFF" w:val="clear"/>
          <w:rtl w:val="true"/>
        </w:rPr>
        <w:t xml:space="preserve">זכות ערעור לבית המשפט במחוזי בירושלים בתוך </w:t>
      </w:r>
      <w:r>
        <w:rPr>
          <w:rFonts w:eastAsia="Calibri" w:cs="David" w:ascii="David" w:hAnsi="David"/>
          <w:b/>
          <w:bCs/>
          <w:color w:val="000000"/>
          <w:sz w:val="22"/>
          <w:szCs w:val="22"/>
          <w:shd w:fill="FFFFFF" w:val="clear"/>
        </w:rPr>
        <w:t>45</w:t>
      </w:r>
      <w:r>
        <w:rPr>
          <w:rFonts w:eastAsia="Calibri" w:cs="David" w:ascii="David" w:hAnsi="David"/>
          <w:b/>
          <w:bCs/>
          <w:color w:val="000000"/>
          <w:sz w:val="22"/>
          <w:szCs w:val="22"/>
          <w:shd w:fill="FFFFFF" w:val="clear"/>
          <w:rtl w:val="true"/>
        </w:rPr>
        <w:t xml:space="preserve"> </w:t>
      </w:r>
      <w:r>
        <w:rPr>
          <w:rFonts w:ascii="David" w:hAnsi="David" w:eastAsia="Calibri"/>
          <w:b/>
          <w:b/>
          <w:bCs/>
          <w:color w:val="000000"/>
          <w:sz w:val="22"/>
          <w:sz w:val="22"/>
          <w:szCs w:val="22"/>
          <w:shd w:fill="FFFFFF" w:val="clear"/>
          <w:rtl w:val="true"/>
        </w:rPr>
        <w:t>יום</w:t>
      </w:r>
      <w:r>
        <w:rPr>
          <w:rFonts w:eastAsia="Calibri" w:cs="David" w:ascii="David" w:hAnsi="David"/>
          <w:b/>
          <w:bCs/>
          <w:color w:val="000000"/>
          <w:sz w:val="22"/>
          <w:szCs w:val="22"/>
          <w:shd w:fill="FFFFFF" w:val="clear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</w:r>
    </w:p>
    <w:p>
      <w:pPr>
        <w:pStyle w:val="Normal"/>
        <w:spacing w:lineRule="auto" w:line="254" w:before="0" w:after="160"/>
        <w:ind w:end="0"/>
        <w:jc w:val="start"/>
        <w:rPr/>
      </w:pPr>
      <w:bookmarkStart w:id="9" w:name="Nitan"/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ניתן היום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כ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ג אדר ב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תשפ</w:t>
      </w:r>
      <w:r>
        <w:rPr>
          <w:rFonts w:cs="Arial" w:ascii="Arial" w:hAnsi="Arial"/>
          <w:b/>
          <w:bCs/>
          <w:sz w:val="22"/>
          <w:szCs w:val="22"/>
          <w:rtl w:val="true"/>
        </w:rPr>
        <w:t>"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ד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cs="Arial" w:ascii="Arial" w:hAnsi="Arial"/>
          <w:b/>
          <w:bCs/>
          <w:sz w:val="22"/>
          <w:szCs w:val="22"/>
        </w:rPr>
        <w:t>02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אפריל </w:t>
      </w:r>
      <w:r>
        <w:rPr>
          <w:rFonts w:cs="Arial" w:ascii="Arial" w:hAnsi="Arial"/>
          <w:b/>
          <w:bCs/>
          <w:sz w:val="22"/>
          <w:szCs w:val="22"/>
        </w:rPr>
        <w:t>2024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 xml:space="preserve">במעמד הנוכחים </w:t>
      </w:r>
      <w:r>
        <w:rPr>
          <w:rFonts w:cs="Arial" w:ascii="Arial" w:hAnsi="Arial"/>
          <w:b/>
          <w:bCs/>
          <w:sz w:val="22"/>
          <w:szCs w:val="22"/>
          <w:rtl w:val="true"/>
        </w:rPr>
        <w:t>(</w:t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הנאשמים בוויעוד חזותי</w:t>
      </w:r>
      <w:r>
        <w:rPr>
          <w:rFonts w:cs="Arial" w:ascii="Arial" w:hAnsi="Arial"/>
          <w:b/>
          <w:bCs/>
          <w:sz w:val="22"/>
          <w:szCs w:val="22"/>
          <w:rtl w:val="true"/>
        </w:rPr>
        <w:t xml:space="preserve">) </w:t>
      </w:r>
      <w:bookmarkEnd w:id="9"/>
      <w:r>
        <w:rPr>
          <w:rFonts w:cs="Arial" w:ascii="Arial" w:hAnsi="Arial"/>
          <w:b/>
          <w:bCs/>
          <w:sz w:val="22"/>
          <w:szCs w:val="22"/>
          <w:rtl w:val="true"/>
        </w:rPr>
        <w:tab/>
      </w:r>
    </w:p>
    <w:p>
      <w:pPr>
        <w:pStyle w:val="Normal"/>
        <w:spacing w:lineRule="auto" w:line="254" w:before="0" w:after="160"/>
        <w:ind w:end="0"/>
        <w:jc w:val="start"/>
        <w:rPr>
          <w:rFonts w:ascii="Arial" w:hAnsi="Arial" w:cs="Arial"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  <w:rtl w:val="true"/>
        </w:rPr>
        <w:tab/>
        <w:tab/>
        <w:tab/>
        <w:tab/>
      </w:r>
    </w:p>
    <w:p>
      <w:pPr>
        <w:pStyle w:val="Normal"/>
        <w:spacing w:lineRule="auto" w:line="254" w:before="0" w:after="160"/>
        <w:ind w:end="0"/>
        <w:jc w:val="start"/>
        <w:rPr>
          <w:rFonts w:ascii="Calibri" w:hAnsi="Calibri" w:eastAsia="Calibri" w:cs="Arial"/>
          <w:sz w:val="22"/>
          <w:szCs w:val="22"/>
        </w:rPr>
      </w:pPr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cs="Arial" w:ascii="Arial" w:hAnsi="Arial"/>
          <w:b/>
          <w:bCs/>
          <w:sz w:val="22"/>
          <w:szCs w:val="22"/>
          <w:rtl w:val="true"/>
        </w:rPr>
        <w:tab/>
        <w:tab/>
        <w:tab/>
        <w:tab/>
        <w:tab/>
        <w:tab/>
        <w:tab/>
        <w:tab/>
      </w:r>
      <w:r>
        <w:rPr>
          <w:rFonts w:ascii="Arial" w:hAnsi="Arial" w:cs="Arial"/>
          <w:b/>
          <w:b/>
          <w:bCs/>
          <w:sz w:val="22"/>
          <w:sz w:val="22"/>
          <w:szCs w:val="22"/>
          <w:rtl w:val="true"/>
        </w:rPr>
        <w:t>חתימה</w:t>
      </w:r>
      <w:r>
        <w:rPr>
          <w:rFonts w:cs="Arial" w:ascii="Arial" w:hAnsi="Arial"/>
          <w:b/>
          <w:bCs/>
          <w:sz w:val="22"/>
          <w:szCs w:val="22"/>
          <w:rtl w:val="true"/>
        </w:rPr>
        <w:tab/>
        <w:tab/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7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ארנון איתן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28"/>
      <w:footerReference w:type="default" r:id="rId29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18449-04-23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יזן עמירה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147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11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390" w:hanging="390"/>
      </w:pPr>
      <w:rPr>
        <w:lang w:val="en-US" w:bidi="he-IL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Times New Roman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5z0">
    <w:name w:val="WW8Num5z0"/>
    <w:qFormat/>
    <w:rPr>
      <w:lang w:val="en-US" w:bidi="he-IL"/>
    </w:rPr>
  </w:style>
  <w:style w:type="character" w:styleId="WW8Num5z1">
    <w:name w:val="WW8Num5z1"/>
    <w:qFormat/>
    <w:rPr/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case/26913995" TargetMode="External"/><Relationship Id="rId9" Type="http://schemas.openxmlformats.org/officeDocument/2006/relationships/hyperlink" Target="http://www.nevo.co.il/case/25824863" TargetMode="External"/><Relationship Id="rId10" Type="http://schemas.openxmlformats.org/officeDocument/2006/relationships/hyperlink" Target="http://www.nevo.co.il/case/25063920" TargetMode="External"/><Relationship Id="rId11" Type="http://schemas.openxmlformats.org/officeDocument/2006/relationships/hyperlink" Target="http://www.nevo.co.il/case/5969313" TargetMode="External"/><Relationship Id="rId12" Type="http://schemas.openxmlformats.org/officeDocument/2006/relationships/hyperlink" Target="http://www.nevo.co.il/case/5762686" TargetMode="External"/><Relationship Id="rId13" Type="http://schemas.openxmlformats.org/officeDocument/2006/relationships/hyperlink" Target="http://www.nevo.co.il/case/26383419" TargetMode="External"/><Relationship Id="rId14" Type="http://schemas.openxmlformats.org/officeDocument/2006/relationships/hyperlink" Target="http://www.nevo.co.il/case/6024035" TargetMode="External"/><Relationship Id="rId15" Type="http://schemas.openxmlformats.org/officeDocument/2006/relationships/hyperlink" Target="http://www.nevo.co.il/case/6058757" TargetMode="External"/><Relationship Id="rId16" Type="http://schemas.openxmlformats.org/officeDocument/2006/relationships/hyperlink" Target="http://www.nevo.co.il/case/22228298" TargetMode="External"/><Relationship Id="rId17" Type="http://schemas.openxmlformats.org/officeDocument/2006/relationships/hyperlink" Target="http://www.nevo.co.il/case/23817589" TargetMode="External"/><Relationship Id="rId18" Type="http://schemas.openxmlformats.org/officeDocument/2006/relationships/hyperlink" Target="http://www.nevo.co.il/case/26484690" TargetMode="External"/><Relationship Id="rId19" Type="http://schemas.openxmlformats.org/officeDocument/2006/relationships/hyperlink" Target="http://www.nevo.co.il/case/5724364" TargetMode="External"/><Relationship Id="rId20" Type="http://schemas.openxmlformats.org/officeDocument/2006/relationships/hyperlink" Target="http://www.nevo.co.il/case/16992066" TargetMode="External"/><Relationship Id="rId21" Type="http://schemas.openxmlformats.org/officeDocument/2006/relationships/hyperlink" Target="http://www.nevo.co.il/case/26520337" TargetMode="External"/><Relationship Id="rId22" Type="http://schemas.openxmlformats.org/officeDocument/2006/relationships/hyperlink" Target="http://www.nevo.co.il/law/70301/144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eca.gov.il/" TargetMode="External"/><Relationship Id="rId25" Type="http://schemas.openxmlformats.org/officeDocument/2006/relationships/hyperlink" Target="http://www.nevo.co.il/law/70301/144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advertisements/nevo-100.doc" TargetMode="External"/><Relationship Id="rId28" Type="http://schemas.openxmlformats.org/officeDocument/2006/relationships/header" Target="header1.xml"/><Relationship Id="rId29" Type="http://schemas.openxmlformats.org/officeDocument/2006/relationships/footer" Target="footer1.xm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2024-12-04T09:53:00Z</dcterms:created>
  <dc:creator> </dc:creator>
  <dc:description/>
  <cp:keywords/>
  <dc:language>en-IL</dc:language>
  <cp:lastModifiedBy>h1</cp:lastModifiedBy>
  <dcterms:modified xsi:type="dcterms:W3CDTF">2024-12-04T09:53:00Z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יזן עמירה;גאהד עמירה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26913995;25824863;25063920;5969313;5762686;26383419;6024035;6058757;22228298;23817589;26484690;5724364;16992066;26520337</vt:lpwstr>
  </property>
  <property fmtid="{D5CDD505-2E9C-101B-9397-08002B2CF9AE}" pid="9" name="CITY">
    <vt:lpwstr>י-ם</vt:lpwstr>
  </property>
  <property fmtid="{D5CDD505-2E9C-101B-9397-08002B2CF9AE}" pid="10" name="DATE">
    <vt:lpwstr>20240402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ארנון איתן</vt:lpwstr>
  </property>
  <property fmtid="{D5CDD505-2E9C-101B-9397-08002B2CF9AE}" pid="14" name="LAWLISTTMP1">
    <vt:lpwstr>70301/144.a:2;144:2</vt:lpwstr>
  </property>
  <property fmtid="{D5CDD505-2E9C-101B-9397-08002B2CF9AE}" pid="15" name="LAWYER">
    <vt:lpwstr>אחמד עואודה;מוחמד חלאילה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18449</vt:lpwstr>
  </property>
  <property fmtid="{D5CDD505-2E9C-101B-9397-08002B2CF9AE}" pid="22" name="NEWPARTB">
    <vt:lpwstr>04</vt:lpwstr>
  </property>
  <property fmtid="{D5CDD505-2E9C-101B-9397-08002B2CF9AE}" pid="23" name="NEWPARTC">
    <vt:lpwstr>23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380020240402</vt:lpwstr>
  </property>
  <property fmtid="{D5CDD505-2E9C-101B-9397-08002B2CF9AE}" pid="34" name="TYPE_N_DATE">
    <vt:lpwstr>38020240402</vt:lpwstr>
  </property>
  <property fmtid="{D5CDD505-2E9C-101B-9397-08002B2CF9AE}" pid="35" name="VOLUME">
    <vt:lpwstr/>
  </property>
  <property fmtid="{D5CDD505-2E9C-101B-9397-08002B2CF9AE}" pid="36" name="WORDNUMPAGES">
    <vt:lpwstr>7</vt:lpwstr>
  </property>
</Properties>
</file>