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18508-08-13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קריספיל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2014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  <w:r>
              <w:rPr/>
              <w:t>18531-08-13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  <w:rFonts w:eastAsia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שופטת יפעת שיטרית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מרדכי מטיאל קריספיל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אדם אדרי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מטעם המאשימה 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אביטל שרוני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מטעם הנאשם מס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–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הובא בידי הליווי וע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י 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עוה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מני אלביר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מטעם הנאשם מס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–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בעצמו וע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י 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עוה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דניאל וייס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מורה על הפרדת משפטים בין עניינו של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לבין עניינו של הנאשם </w:t>
      </w:r>
      <w:r>
        <w:rPr/>
        <w:t>2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נדחה לעיון ומתן גזר דין בעניינו של 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בלבד ליום </w:t>
      </w:r>
      <w:r>
        <w:rPr/>
        <w:t>28.4.14</w:t>
      </w:r>
      <w:r>
        <w:rPr>
          <w:rtl w:val="true"/>
        </w:rPr>
        <w:t xml:space="preserve"> </w:t>
      </w:r>
      <w:r>
        <w:rPr>
          <w:rtl w:val="true"/>
        </w:rPr>
        <w:t xml:space="preserve">שעה </w:t>
      </w:r>
      <w:r>
        <w:rPr/>
        <w:t>09:00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המזכירות תזמן את הנאשם בידי הליוי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אדר ב תשע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/>
        <w:t>10/03/2014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יפעת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שיטרית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/>
      </w:pPr>
      <w:bookmarkStart w:id="8" w:name="PsakDin"/>
      <w:bookmarkEnd w:id="8"/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  <w:t xml:space="preserve">גזר דין בעניינו של נאשם </w:t>
      </w:r>
      <w:r>
        <w:rPr/>
        <w:t>2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 על פי הודאתו במסגרת הסדר טיעון בעבירה שעניינה  אי מניעת 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ההודאה היתה כאמור על דרך ההסדר אשר במסגרתו הגיעו הצדדים להסכמות באשר לענישה ראויה והם עותרים בפניי לכבדה</w:t>
      </w:r>
      <w:r>
        <w:rPr>
          <w:rtl w:val="true"/>
        </w:rPr>
        <w:t xml:space="preserve">. </w:t>
      </w:r>
      <w:r>
        <w:rPr>
          <w:rtl w:val="true"/>
        </w:rPr>
        <w:t xml:space="preserve">ראה בעניין זה הפרוטוקול מיום </w:t>
      </w:r>
      <w:r>
        <w:rPr/>
        <w:t>18.12.13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 xml:space="preserve">כך עותרים הצדדים להשית על נאשם </w:t>
      </w:r>
      <w:r>
        <w:rPr/>
        <w:t>2</w:t>
      </w:r>
      <w:r>
        <w:rPr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 מאסר בפועל אש ירוצו על דרך עבודות שירות בהתאם לחוות דעת ממונה</w:t>
      </w:r>
      <w:r>
        <w:rPr>
          <w:rtl w:val="true"/>
        </w:rPr>
        <w:t xml:space="preserve">, </w:t>
      </w:r>
      <w:r>
        <w:rPr>
          <w:rtl w:val="true"/>
        </w:rPr>
        <w:t>מאסר מותנה לשיקול דעת בית המשפט</w:t>
      </w:r>
      <w:r>
        <w:rPr>
          <w:rtl w:val="true"/>
        </w:rPr>
        <w:t xml:space="preserve">, </w:t>
      </w:r>
      <w:r>
        <w:rPr>
          <w:rtl w:val="true"/>
        </w:rPr>
        <w:t>וחיוב הנאשם בחתימה על התחייבות כספית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התקבלה חוות דעת בענינו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והיא חיובית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מחד תצוין לחומרא מהות העבירה שביצע הנאשם בשים לב לטיבה</w:t>
      </w:r>
      <w:r>
        <w:rPr>
          <w:rtl w:val="true"/>
        </w:rPr>
        <w:t xml:space="preserve">, </w:t>
      </w:r>
      <w:r>
        <w:rPr>
          <w:rtl w:val="true"/>
        </w:rPr>
        <w:t>מהותה ונסיבות ביצועה כעולה מעובדות כתב האישום המתוקן ב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מאידך תצויין הודאת הנאשם לקיחת האחריות</w:t>
      </w:r>
      <w:r>
        <w:rPr>
          <w:rtl w:val="true"/>
        </w:rPr>
        <w:t xml:space="preserve">, </w:t>
      </w:r>
      <w:r>
        <w:rPr>
          <w:rtl w:val="true"/>
        </w:rPr>
        <w:t>חיסכון זמן שפוטי יקר</w:t>
      </w:r>
      <w:r>
        <w:rPr>
          <w:rtl w:val="true"/>
        </w:rPr>
        <w:t xml:space="preserve">. </w:t>
      </w:r>
      <w:r>
        <w:rPr>
          <w:rtl w:val="true"/>
        </w:rPr>
        <w:t>כך תצוין העובדה כי לחובת הנאשם הרשעות קודמות  אשר התיישנו זאת בשונה ממחיקתן בגין עבירות שעניינן</w:t>
      </w:r>
      <w:r>
        <w:rPr>
          <w:rtl w:val="true"/>
        </w:rPr>
        <w:t xml:space="preserve">, </w:t>
      </w:r>
      <w:r>
        <w:rPr>
          <w:rtl w:val="true"/>
        </w:rPr>
        <w:t>פריצה לבניין שאינו דירה וביצוע גניבה</w:t>
      </w:r>
      <w:r>
        <w:rPr>
          <w:rtl w:val="true"/>
        </w:rPr>
        <w:t xml:space="preserve">, </w:t>
      </w:r>
      <w:r>
        <w:rPr>
          <w:rtl w:val="true"/>
        </w:rPr>
        <w:t>עבירות רכוש נוספות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היזק לרכוש במזיד ועוד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בענייננו חל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הצדדים הגיעו כאמור להסכמות באשר לענישה הראויה</w:t>
      </w:r>
      <w:r>
        <w:rPr>
          <w:rtl w:val="true"/>
        </w:rPr>
        <w:t xml:space="preserve">, </w:t>
      </w:r>
      <w:r>
        <w:rPr>
          <w:rtl w:val="true"/>
        </w:rPr>
        <w:t>יחד בזאת בזיקה לפסיקה האחרונה אשר יצאה מפתחו של בית המפשט העליון בסוגיה זו</w:t>
      </w:r>
      <w:r>
        <w:rPr>
          <w:rtl w:val="true"/>
        </w:rPr>
        <w:t xml:space="preserve">, </w:t>
      </w:r>
      <w:r>
        <w:rPr>
          <w:rtl w:val="true"/>
        </w:rPr>
        <w:t>מקום בו גם הצדדים הגיעו להסכמות באשר לענישה מוסכמת</w:t>
      </w:r>
      <w:r>
        <w:rPr>
          <w:rtl w:val="true"/>
        </w:rPr>
        <w:t xml:space="preserve">, </w:t>
      </w:r>
      <w:r>
        <w:rPr>
          <w:rtl w:val="true"/>
        </w:rPr>
        <w:t xml:space="preserve">בגדר הסדר הטיעון על בית המשפט להתיחס ולבחון את הקריטריונים לענישה כפי תיקון </w:t>
      </w:r>
      <w:r>
        <w:rPr/>
        <w:t>113</w:t>
      </w:r>
      <w:r>
        <w:rPr>
          <w:rtl w:val="true"/>
        </w:rPr>
        <w:t xml:space="preserve">. </w:t>
      </w:r>
      <w:r>
        <w:rPr>
          <w:rtl w:val="true"/>
        </w:rPr>
        <w:t>בנסיבות אלו אני סבורה כי בענישה המוסכמת כפי הסדר הטיעון יש כדי לשקלל נכונה את הערכים החברתיים המוגנים שנפגעו מביצוע העבירה ומידת הפגיעה בהן</w:t>
      </w:r>
      <w:r>
        <w:rPr>
          <w:rtl w:val="true"/>
        </w:rPr>
        <w:t xml:space="preserve">, </w:t>
      </w:r>
      <w:r>
        <w:rPr>
          <w:rtl w:val="true"/>
        </w:rPr>
        <w:t>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הנסיבות אשר קשורות בביצוע העבירות ומיקום העונש הראוי לנאשם בהתחשב בנסיבות אשר אינן קשורות בביצוע העבירות</w:t>
      </w:r>
      <w:r>
        <w:rPr>
          <w:rtl w:val="true"/>
        </w:rPr>
        <w:t xml:space="preserve">. </w:t>
      </w:r>
      <w:r>
        <w:rPr>
          <w:rtl w:val="true"/>
        </w:rPr>
        <w:t>לפיכך בענישה המוסכים כפי הסדר הטיעון יש כדי למקם באופן ראוי את הענש המתאים לנאשם בתוך מתחם העונש ההולם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בנסיבות העניין מצאתי את הסדר הטיעון כפי שהוצג באשר הוא ראוי אינו נוגד את תקנת הציבור</w:t>
      </w:r>
      <w:r>
        <w:rPr>
          <w:rtl w:val="true"/>
        </w:rPr>
        <w:t xml:space="preserve">, </w:t>
      </w:r>
      <w:r>
        <w:rPr>
          <w:rtl w:val="true"/>
        </w:rPr>
        <w:t>אינו חורג ממתחם העונש ההולם</w:t>
      </w:r>
      <w:r>
        <w:rPr>
          <w:rtl w:val="true"/>
        </w:rPr>
        <w:t xml:space="preserve">. </w:t>
      </w:r>
      <w:r>
        <w:rPr>
          <w:rtl w:val="true"/>
        </w:rPr>
        <w:t>לפיכך אני רואה לכבדו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אשר על כן אני משיתה על הנאשם </w:t>
      </w:r>
      <w:r>
        <w:rPr>
          <w:u w:val="single"/>
        </w:rPr>
        <w:t>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את העונשים כדלקמן</w:t>
      </w:r>
      <w:r>
        <w:rPr>
          <w:u w:val="single"/>
          <w:rtl w:val="true"/>
        </w:rPr>
        <w:t>:</w:t>
      </w:r>
      <w:bookmarkStart w:id="9" w:name="_GoBack"/>
      <w:bookmarkEnd w:id="9"/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 מאסר בפועל אשר ירוצו על דרך עבודות שירות בהתאם לחוות דעת הממונה אשר הוגשה</w:t>
      </w:r>
      <w:r>
        <w:rPr>
          <w:rtl w:val="true"/>
        </w:rPr>
        <w:t xml:space="preserve">. </w:t>
      </w:r>
      <w:r>
        <w:rPr>
          <w:rtl w:val="true"/>
        </w:rPr>
        <w:t>הנאשם ירצה את עבודות השירות במרכז שיקום מגדל העמק במגדל העמק בימי העבודה ובשעות העבודה כעולה מחוות דעת הממונה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מועד תחילת ריצוי עבודות השירות </w:t>
      </w:r>
      <w:r>
        <w:rPr/>
        <w:t>27.5.14</w:t>
      </w:r>
      <w:r>
        <w:rPr>
          <w:rtl w:val="true"/>
        </w:rPr>
        <w:t xml:space="preserve">. </w:t>
      </w:r>
      <w:r>
        <w:rPr>
          <w:rtl w:val="true"/>
        </w:rPr>
        <w:t xml:space="preserve">במועד זה בשעה </w:t>
      </w:r>
      <w:r>
        <w:rPr/>
        <w:t>08.00</w:t>
      </w:r>
      <w:r>
        <w:rPr>
          <w:rtl w:val="true"/>
        </w:rPr>
        <w:t xml:space="preserve"> </w:t>
      </w:r>
      <w:r>
        <w:rPr>
          <w:rtl w:val="true"/>
        </w:rPr>
        <w:t xml:space="preserve">בבוקר יתייצב הנאשם לצורך קליטה והצבה  במפקדת מחוז צפון יחידת עבודות שירות ברחוב הציונות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בטבריה בתוך תחנת משטרת טבריה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על תנאי והתנאי הוא שהנאשם לא יעבור תוך תוקפה של שנתיים מהיום כל עבירה בנשק מסוג 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 מאסר על תנאי והתנאי הוא שהנאשם לא יעבור תוך תקופה של שנתיים מהיום עבירה בנשק מסוג עוון או עבירה של אי מניעת פשע ויורשע בגין אחת מאלה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 xml:space="preserve">אני מחייבת את הנאשם בחתימה על התחייבות כספית בסך </w:t>
      </w:r>
      <w:r>
        <w:rPr/>
        <w:t>3000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 מאסר תמורתה להימנע במשך שנתיים מלעבור כל עבירה בנשק או עבירה של אי מניעת 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היה ולא תחתם ההתחייבות יאסר הנאשם למשך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/>
        <w:t>6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המזכירות תמציא העתק מגזר דין זה לממונה על עבודות השירות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המזכירות תמציא העתקים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b/>
                <w:b/>
                <w:bCs/>
                <w:rtl w:val="true"/>
              </w:rPr>
              <w:t>ניתנה והודעה היום ח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אדר ב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10/03/2014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יפעת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שיטרית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יפעת שיטרית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18508-08-13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מרדכי מטיאל קריספיל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2014-03-16T13:26:00Z</dcterms:created>
  <dc:creator> </dc:creator>
  <dc:description/>
  <cp:keywords/>
  <dc:language>en-IL</dc:language>
  <cp:lastModifiedBy>hofit</cp:lastModifiedBy>
  <dcterms:modified xsi:type="dcterms:W3CDTF">2014-03-16T13:26:00Z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מרדכי מטיאל קריספיל;אדם אדרי</vt:lpwstr>
  </property>
  <property fmtid="{D5CDD505-2E9C-101B-9397-08002B2CF9AE}" pid="4" name="CITY">
    <vt:lpwstr>נצ'</vt:lpwstr>
  </property>
  <property fmtid="{D5CDD505-2E9C-101B-9397-08002B2CF9AE}" pid="5" name="DATE">
    <vt:lpwstr>20140310</vt:lpwstr>
  </property>
  <property fmtid="{D5CDD505-2E9C-101B-9397-08002B2CF9AE}" pid="6" name="JUDGE">
    <vt:lpwstr>יפעת שיטרית</vt:lpwstr>
  </property>
  <property fmtid="{D5CDD505-2E9C-101B-9397-08002B2CF9AE}" pid="7" name="LAWLISTTMP1">
    <vt:lpwstr>70301</vt:lpwstr>
  </property>
  <property fmtid="{D5CDD505-2E9C-101B-9397-08002B2CF9AE}" pid="8" name="LAWYER">
    <vt:lpwstr>הליווי ו;הובא בידי הליווי ו מני אלביר;ו דניאל וייס;אביטל שרוני</vt:lpwstr>
  </property>
  <property fmtid="{D5CDD505-2E9C-101B-9397-08002B2CF9AE}" pid="9" name="NEWPARTA">
    <vt:lpwstr>18508</vt:lpwstr>
  </property>
  <property fmtid="{D5CDD505-2E9C-101B-9397-08002B2CF9AE}" pid="10" name="NEWPARTB">
    <vt:lpwstr>08</vt:lpwstr>
  </property>
  <property fmtid="{D5CDD505-2E9C-101B-9397-08002B2CF9AE}" pid="11" name="NEWPARTC">
    <vt:lpwstr>13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2</vt:lpwstr>
  </property>
  <property fmtid="{D5CDD505-2E9C-101B-9397-08002B2CF9AE}" pid="15" name="TYPE_ABS_DATE">
    <vt:lpwstr>390020140310</vt:lpwstr>
  </property>
  <property fmtid="{D5CDD505-2E9C-101B-9397-08002B2CF9AE}" pid="16" name="TYPE_N_DATE">
    <vt:lpwstr>39020140310</vt:lpwstr>
  </property>
  <property fmtid="{D5CDD505-2E9C-101B-9397-08002B2CF9AE}" pid="17" name="WORDNUMPAGES">
    <vt:lpwstr>3</vt:lpwstr>
  </property>
</Properties>
</file>