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66"/>
        <w:gridCol w:w="3672"/>
        <w:gridCol w:w="3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6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18557-10-21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נעים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gridSpan w:val="2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fldChar w:fldCharType="begin"/>
            </w:r>
            <w:r>
              <w:rPr>
                <w:rtl w:val="true"/>
                <w:sz w:val="28"/>
                <w:szCs w:val="28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separate"/>
            </w:r>
            <w:r>
              <w:rPr>
                <w:rtl w:val="true"/>
                <w:sz w:val="28"/>
                <w:szCs w:val="28"/>
                <w:rFonts w:cs="FrankRuehl"/>
              </w:rPr>
              <w:t>08 אפריל 2025</w: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end"/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אינאס סלאמה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  <w:tc>
          <w:tcPr>
            <w:tcW w:w="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פרקליטות מחוז חיפה</w:t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רעד נעים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ד חנא בולוס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1" w:name="ABSTRACT_START"/>
      <w:bookmarkEnd w:id="11"/>
      <w:r>
        <w:rPr>
          <w:rFonts w:ascii="David" w:hAnsi="David"/>
          <w:rtl w:val="true"/>
        </w:rPr>
        <w:t>הנאשם שלפניי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במסגרת הסדר טיעון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הובלה ונשיאה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וכן ירי מנשק חם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סעיף </w:t>
      </w:r>
      <w:hyperlink r:id="rId14"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-(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הסדר הטיעון לא כלל הסכמה בדבר העונש שייגזר על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ההסדר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אלו הגיעו הצדדים לאחר סיום פרשת התביעה וטרם החלה פרשת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חזר בו מהכפירה והודה בעובדות כתב אישום מתוקן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עיקרן יובא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יהאד סואעד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יהאד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הם מכרים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הם מכרים וביניהם קיים סכסוך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במהלך יום </w:t>
      </w:r>
      <w:r>
        <w:rPr>
          <w:rFonts w:cs="David" w:ascii="David" w:hAnsi="David"/>
        </w:rPr>
        <w:t>16.9.2021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החזיק בנשק מסוג תת מקלע מאולתר אשר סוגל לירות כדור </w:t>
      </w:r>
      <w:r>
        <w:rPr>
          <w:rFonts w:cs="David" w:ascii="David" w:hAnsi="David"/>
          <w:rtl w:val="true"/>
        </w:rPr>
        <w:t xml:space="preserve">/ </w:t>
      </w:r>
      <w:r>
        <w:rPr>
          <w:rFonts w:ascii="David" w:hAnsi="David"/>
          <w:rtl w:val="true"/>
        </w:rPr>
        <w:t>קלע ובכוחו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במחסנית ולכל הפחות בשני כדורים תואמים לתת המקלע בקליבר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 יחד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זאת בלא רשות על פי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עובר לשעה </w:t>
      </w:r>
      <w:r>
        <w:rPr>
          <w:rFonts w:cs="David" w:ascii="David" w:hAnsi="David"/>
        </w:rPr>
        <w:t>19:00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הניח את הנשק שהיה טעון במחסנית ובכדורים ברכבו מסוג מאזדה בצבע כחול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19:00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בכפר אבו סנאן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נסע ברכב כשהוא נושא ומוביל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הגיע אל ביתו של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אשר התיישב במושב הנהג והנאשם התיישב במושב הנוסע לידו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כשהנשק ברשותו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נסעו בכפר אבו סנאן כשהנאשם נושא ומוביל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בסיועו של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השניים לרחוב בו נמצא עסק לחומרי בניין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במקום היה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כשהוא יושב במאזדה לבנה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המאזדה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במושב הנוסע ליד הנהג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ומכרו מוחמד פעאור ישב במושב הנהג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עצרו ליד המאזדה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הצדדים התפתחו חילופי 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במהלכם יצא הנאשם מהרכב כשהוא מחזיק בידו את הנשק הטעון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פנה לעבר המאזדה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נעמד בצמוד לחלקה השמאלי קדמי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כך צויין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'), </w:t>
      </w:r>
      <w:r>
        <w:rPr>
          <w:rFonts w:ascii="David" w:hAnsi="David"/>
          <w:rtl w:val="true"/>
        </w:rPr>
        <w:t>שם ישב א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וכיוון את הנשק לעבר המאזדה בכוונה להפחיד או להקניט את א</w:t>
      </w:r>
      <w:r>
        <w:rPr>
          <w:rFonts w:cs="David" w:ascii="David" w:hAnsi="David"/>
          <w:rtl w:val="true"/>
        </w:rPr>
        <w:t xml:space="preserve">'. </w:t>
      </w:r>
      <w:r>
        <w:rPr>
          <w:rFonts w:ascii="David" w:hAnsi="David"/>
          <w:rtl w:val="true"/>
        </w:rPr>
        <w:t>מוחמד פעאור שהבחין במתרחש החל לנסוע מהמקום במטרה להתחמק מהנאשם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רץ אחרי המאזדה כשהוא מחזיק בידו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וכשהמאזדה הייתה במרחק קצר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הוא את הנשק כלפי מעלה וירה לפחות שני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בכוונה להפחיד את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או להקניטו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באזור מגורים ובאופן שיש בו לסכן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חזר אל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המתין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כל אותה העת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והשניים נסעו מהמקום כשג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נוהג ברכב ומסייע לנאשם לשאת ולהוביל את הנשק הטעון במחסנית ובכדורים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בדיון מיום </w:t>
      </w:r>
      <w:r>
        <w:rPr>
          <w:rFonts w:cs="David" w:ascii="David" w:hAnsi="David"/>
        </w:rPr>
        <w:t>12.9.2022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נשמעו טיעוני הצדדים 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הדיון המאשימה הגישה עיקרי טיעון בכתב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את גזר הדין שניתן בעניינו של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הגיש מסמך 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אסופת 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ובמסגרת הראיות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העידו מטעם ההגנה שני עדים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אשר ביצע הנאשם נפגעו ערכים חברתיים של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שלטון החוק ושלום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עמדה על פסיקת בית המשפט העליון בדבר הצורך בהחמרת הענישה בעבירות 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התיקון לחוק בנוגע לקביעת עונש מזערי בעבירות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הגם שהוא לא חל בענייננו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על מגמת התגברות אירועי הירי והאלימות באמצעות נשק חם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והצורך להתמודד עמה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התייחסה המאשימה לנסיבות ענייננו הצריכות לקביעת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כי העבירה בוצעה על רקע סכסוך שטיבו לא הוברר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בראי עדויות ההגנה לעונש לא ברור על מה נסב הסכסוך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בלב אזור מגורים צפוף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שימוש בנשק התקפי באופיו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תת מקלע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וקרבה למאזדה בה שהו אנשים ובשעה שרכב זה מנסה להימלט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ללמד על הסיכון שנשקף לחיי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המאשימה לסרטונים שתעדו את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העבירה בוצעה תוך שימוש ברכב והסתייעות באחר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ציינה אף כי הנשק לא נתפס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מן העבר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המאשימה כי מדובר באירוע קצר ונקודתי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במהלכו נורו מספר לא רב של יריות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הפנתה המאשימה לפסיקה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ועתרה לקבוע מתחם עונש הולם הנע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בגדרי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ובשים לב לכך שהנאשם 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הודה במיוחס לו בכתב האישום המתוקן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אם כי לא בהזדמנות הראשונה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והיה הרוח החיה 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לקבוע את העונש ברף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בינוני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תחתון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המתחם המוצע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הגישה כאמור את גזר הדין בעניינו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שהפך לחלוט משלא הוגש עליו ערעור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יהאד נדון לעונש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לאבחן בין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וכפי שיפורט בהמשך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מצדו טען כי הפגיעה בערכים המוגנים היא מינורית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מחמת שפוטנציאל הפגיעה בגוף או ברכוש לא התממש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התקרב אל המאזדה אך הוא לא כיוון את הנשק לעבר יושביה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רכב זה עזב את המקום והנאשם ירה שתי יריות באוויר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בלא שהוא מכוון את הנשק אל עבר רכב המאזדה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גם הסנגור עמד על כי מדובר באירוע קצר ונקודתי במהלכו נורו שתי יריות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תאר הסנגור כי תחילה הנאשם נעצר למשך מספר ימים ואז שוחרר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הבין עד כמה שגה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שסבר כי לא יהא המשך טיפול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אחרים השכינו שלום בין הצדדים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המשטרה גילתה את קיומם של הסרטונים והנאשם נעצר מחדש והוגש כנגדו כתב 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לאחר הגשת כתב האישום השלום בין הצדדים נשמר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כאמור הוגש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הסכם סולחה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המשיך הסנגור 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הפסיקה אליה הפנתה המאשימה שונה לחלוטין מענייננו ויש לאבחנה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במקרים בהם הנאשמים הורשעו בביצוע עבירות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למשל איומים או 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הנסיבות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ולמשל דובר במספר אקדחים או ירי של עשרות קליעים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הגיש אסופת פסיקה בעניין מקרים הדומים לטענתו לאירוע מושא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בהם נגזרו עונשים מתונים יותר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הדגיש הסנגור כי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שותפו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המאשימה לא ראתה אל נכון לערער על גזר דין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אף טען כי אלמלא תיקון כתב האישום בעניינו של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היה נכנס במעגל הפנימי של ביצוע העבירה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שכן הוא נהג ברכב כשהנשק בתוכו וזוהי שותפות מלאה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ולא סיוע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הסנגור לעיקרון אחידות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במקרים של מבצע עיקרי ומסייע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צריך להתקיים יחס סביר בענישה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הסנגור עמד על כי עונשו של מסייע הוא מחצית מעונשו של המבצע העיקרי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והפנה לפסיקה בה נשמר היחס בענישה בין מבצע עיקרי למסייע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וטען כי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סבור הסנגור כי לו היה מוטל על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עונש לריצוי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בית המשפט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היה מסתפק אולי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הסנגור חוצץ כנגד הענישה לה עותרת המאשימה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לנתוניו של הנאשם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טען הסנגור כי במועד ביצוע המעשים הנאשם היה כמעט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אורח חיים נורמטיבי ועבד בגינון עם 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למד את הלקח ומשפחתו התגייסה כדי למנוע התפתחות לרעה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ליתן משקל להודאת הנאשם ולחיסכון בזמן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אף טען כי היעדר המידע בדבר מקור הסכסוך לא אמור לגרום להחמרה בענישה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לשיטת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המתחם לנוע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הולם את נסיבות המקרה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מוותר על הגשת תסקיר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דברי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ציין כי זהו מעצרו הראשון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rtl w:val="true"/>
        </w:rPr>
        <w:t>אני טעיתי</w:t>
      </w:r>
      <w:r>
        <w:rPr>
          <w:rFonts w:cs="David" w:ascii="David" w:hAnsi="David"/>
          <w:rtl w:val="true"/>
        </w:rPr>
        <w:t xml:space="preserve">! </w:t>
      </w:r>
      <w:r>
        <w:rPr>
          <w:rFonts w:ascii="David" w:hAnsi="David"/>
          <w:rtl w:val="true"/>
        </w:rPr>
        <w:t>ואני משלם את המחיר הטעות שלי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 שחוזר לכלא הוא אדם אהבל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אני רוצה לצאת לדאוג להורים שלי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לעבוד ולהתפרנס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העבירה בנסיבותיה ומידת אשמו של הנאשם העומד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לעבירה שביצע 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לאתר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אשר 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יכול לחרוג ממתחם העונש הן לקולא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לחומרה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הגנה על 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דכאן הורשע בביצוע עבירות בנשק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הן בהחזקתו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בנשיאתו ובהובלתו של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בירי שביצע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אשר נפגעו כתוצאה מביצוע העבירות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ביצוע עבירות נשק גלומה פגיעה אשר אינה מבוטלת בשורה של ערכים חברתיים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קל וחומר שעה שמבוצע ירי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 באזור מגורים ובאופן שיש בו לסכן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בראש הערכים החברתיים אשר 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ניצבים ערך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שלומו של הציבור וכן תחושת הביטחון השוררת בציבור להתהלך באין מפריע ובלא חשש במקום מושבו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דכאן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נשא והוביל את הנשק ברכבו כשהנשק טעון במחסנית ובכדורים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במעשים אלו כשלעצמם טבועה מסוכנות לקרות נזק הרה גורל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שרשרת המעשים שביצע הנאשם לא תמה בנקודה זו על פני ציר הזמן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הרהיב עוז ועשה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שכיוון אותו אל עבר המאזדה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אף ירה באוויר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בגזרי דין בפרשות אחרות נזדמן לי לכתוב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בהשאלה מעולם הספרות והמחזות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אקדח המופיע במערכה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סופו לירות במערכה השלישית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 לא רחק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במערכה בה הופיע הנשק לראשונה כבר נעשה בו 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בעצם השימוש בנשק גדלה ומתעצמת הסכנה שמא ייארע 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אם לרכוש או חמור מכך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לגוף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כדי קטילת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וכפי המצוין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פעולת כיוון הנשק על ידי הנאשם לעבר המאזדה והן הירי אשר בוצע באוויר כלפי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נועדו על מנת להפחיד את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או להקניטו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ומכאן יש ללמוד כי הנאשם לא התכוון לפגוע בא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או במאן דהוא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ירי המבוצע בלב איזור מגורים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ועל תוואי השטח יעידו סרטוני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אליהם הפנתה המאשימה בטיעוניה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49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יוצר כשלעצמו סכנה לסובבים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נקל לתאר סיומת אחרת לאירוע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מקום בו כדור תועה היה גורם לנזק של 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בל נשכח אף כי הנשק לא נתפס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שקיים חשש שמא עוד ייעשה בו שימוש אשר עלול לגרום לנזק עד כדי אובדן 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על ידי אדם אחר זולת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במקום אחר ובזמן 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בצד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וכפי ששני הצדדים להליך עמדו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באירוע קצר ונקודתי במהלכו הנשק היה מעורב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ומספר היריות שנורו לא היה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הנזק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כי רב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התממש בסופו של דבר ולא ארע נזק לגוף או לרכוש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בשים לב למכלול הנסיבות הללו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כי מידת הפגיעה בערכים החברתיים היא ברמה בינונית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פעמים רבות על החומרה הגלומה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הצורך בהחמרת הענישה כלפי מי אשר מבצע עבירות כגון 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על כך פסק דינו של בית המשפט העליון 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426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rtl w:val="true"/>
        </w:rPr>
        <w:t xml:space="preserve">... 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כמו גם לאסונות נוראיים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מבצרם או בגן השעשועים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כל זאת כתוצאה משימוש בנשק של אחרים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אף אם הם נעדרי עבר פלילי </w:t>
      </w:r>
      <w:r>
        <w:rPr>
          <w:rFonts w:cs="David" w:ascii="David" w:hAnsi="David"/>
          <w:rtl w:val="true"/>
        </w:rPr>
        <w:t xml:space="preserve">... 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ענייננו ב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 xml:space="preserve"> . </w:t>
      </w:r>
      <w:r>
        <w:rPr>
          <w:rFonts w:ascii="David" w:hAnsi="David"/>
          <w:b/>
          <w:b/>
          <w:bCs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אם מחזיקים – למאסר נשלחים</w:t>
      </w:r>
      <w:r>
        <w:rPr>
          <w:rFonts w:cs="David" w:ascii="David" w:hAnsi="David"/>
          <w:b/>
          <w:bCs/>
          <w:rtl w:val="true"/>
        </w:rPr>
        <w:t>'.</w:t>
      </w:r>
      <w:r>
        <w:rPr>
          <w:rFonts w:cs="David" w:ascii="David" w:hAnsi="David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אלרון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4439/19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17-16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התהלכו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המדווחים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התמודדות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ביישובי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וביישובים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2018</w:t>
      </w:r>
      <w:r>
        <w:rPr>
          <w:b/>
          <w:bCs/>
          <w:rtl w:val="true"/>
        </w:rPr>
        <w:t>)).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  <w:t>...</w:t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ופציעתם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בהיבט של הרתעת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נזכיר גם את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5.8.2013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גורל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המאזן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ויראו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יחששו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לבטחונם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ירתעו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הסבת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בית המשפט ליתן דעתו </w:t>
      </w:r>
      <w:r>
        <w:rPr>
          <w:rFonts w:ascii="David" w:hAnsi="David"/>
          <w:b/>
          <w:b/>
          <w:bCs/>
          <w:rtl w:val="true"/>
        </w:rPr>
        <w:t>למדיניות 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הדגישה חזור ושנה את הצורך בענישה מחמירה ומרתיעה כלפי אלה המבצעים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שמנעד הענישה רחב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אפנה להלן לסקירה הכוללת גם פסיקה מהעת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המבטאת את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ממנה יש להקיש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בין היתר על יסודה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ייקבע מתחם העונש ההולם במקרה 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בסקירה זו אכלול גם התייחסות לחלק מפסקי הדין אליהם הפנו הצדדים להליך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14.9.2022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פלוני</w:t>
      </w:r>
      <w:r>
        <w:rPr>
          <w:rFonts w:cs="David" w:ascii="David" w:hAnsi="David"/>
          <w:rtl w:val="true"/>
        </w:rPr>
        <w:t xml:space="preserve">") - </w:t>
      </w:r>
      <w:r>
        <w:rPr>
          <w:rFonts w:ascii="David" w:hAnsi="David"/>
          <w:rtl w:val="true"/>
        </w:rPr>
        <w:t>המשיב הורשע על פי הודאתו במסגרת הסדר טיעון בביצוע 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כניסה ושהייה בישראל בניגוד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בתושב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 אשר על אף שאינו מורשה כניסה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ברכב בעיר אום אל פאחם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על גופו אקדח חצי אוטומטי עם מחסנית וכדורים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משנהג הרכב התבקש על ידי שוטרים לעצור לבדיקה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יצא מהרכב כשהוא נושא את הנשק והחל להימלט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לא שעה לקריאת השוטר אשר רדף אחריו וצעק לעברו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ואחרי שנתפס נאבק בשוטר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בבית המשפט המחוזי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גזר דין של הח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המשיב הושתו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בקבלו הערעור על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בפסק 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 xml:space="preserve">"... </w:t>
      </w:r>
      <w:r>
        <w:rPr>
          <w:rFonts w:ascii="David" w:hAnsi="David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בין סורג ובריח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לצד עונשים נלווים בדמותם של מאסר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וקנס</w:t>
      </w:r>
      <w:r>
        <w:rPr>
          <w:rFonts w:cs="David" w:ascii="David" w:hAnsi="David"/>
          <w:rtl w:val="true"/>
        </w:rPr>
        <w:t xml:space="preserve">) ...".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ומשערכאת הערעור אינה ממצה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הועמד עונש מאסרו בפועל של המשיב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3728/22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מסאלחה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9.8.2022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על פי הודאתו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בביצוע עבירות של סיוע לנשיאה והובלה של כלי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2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hyperlink r:id="rId2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נשיאה והובלה של כלי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2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סיוע לירי מנשק חם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2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2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הצדדים הסכימו שהמשיבה תטען לעונש ראוי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וההגנה תהא חופשית בטיעוניה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נהג ברכב ואדם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אדם אבו סבייה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ישב במושב שלידו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אחריהם נסע צוות בילוש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כשלפתע אבו סבייה הוציא את היד מהחלון וירה ירייה אחת מאקדח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עצר את הרכב בצד הדרך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הבלשים חסמו את הרכב וביצעו חיפוש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במהלכו נתפסו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מסוג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בכיס מכנסי המערער והאקדח נתפס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המערער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 כי על אבו סבייה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והפעלה 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מותנה במצטבר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8322/21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דחלה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13.4.2022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המערער הורשע לאחר ניהול הוכחות בעבירות לפי </w:t>
      </w:r>
      <w:hyperlink r:id="rId2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לחוק</w:t>
      </w:r>
      <w:r>
        <w:rPr>
          <w:rFonts w:cs="David" w:ascii="David" w:hAnsi="David"/>
          <w:rtl w:val="true"/>
        </w:rPr>
        <w:t xml:space="preserve">; </w:t>
      </w:r>
      <w:hyperlink r:id="rId27"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hyperlink r:id="rId28"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 בין משפחת המערער לבין משפחת עדווי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החליט המערער לירות בנשק סמוך לבתים בהם מתגוררים אנשים מבני משפחה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 המערער באקדח ובמחסנית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 למצער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כשלידיו כפפות ופניו מכוסים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חם צוואר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המערער ביצע את הירי ונמלט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לא שמע בקול השוטרים שהיו בסמוך וקראו לעברו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עצור משטרה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והמשיך בריצה תוך שהוא זורק את האקדח והמחסנית שהיו ברשותו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המערער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על הכרעת הדין וגזר הדין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6068/21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פקיה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19.12.2021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המשיב הורשע על פי הודאתו בעבירות שיוחסו לו בכתב אישום מתוקן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נשיאת נשק וירי מנשק חם במקום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הגיע למקום במחנה פליטים שועפאט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הסמוך לאולם אירועים בו התקיימה חתונה אותה העת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ששוחח עם שניים אחרים שהחזיקו בנשקים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הוציא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אותו וירה מספר כדורים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המשיב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בעונשו של המשיב נוכח חומרת העבירות בהן הורשע ובכך שלא פעל להסגרת הנשק לידי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ובהינתן עברו הפלילי המכביד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והעמיד את עונש המאסר בפועל על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זרבאילוב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6.12.2021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21.6.2021</w:t>
      </w:r>
      <w:r>
        <w:rPr>
          <w:rtl w:val="true"/>
        </w:rPr>
        <w:t xml:space="preserve">) -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נזף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כבשים</w:t>
      </w:r>
      <w:r>
        <w:rPr>
          <w:rtl w:val="true"/>
        </w:rPr>
        <w:t xml:space="preserve">, </w:t>
      </w:r>
      <w:r>
        <w:rPr>
          <w:rtl w:val="true"/>
        </w:rPr>
        <w:t>וכשברשותם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ולפחות</w:t>
      </w:r>
      <w:r>
        <w:rPr>
          <w:rFonts w:cs="Times New Roman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החצר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tl w:val="true"/>
        </w:rPr>
        <w:t xml:space="preserve">,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tl w:val="true"/>
        </w:rPr>
        <w:t xml:space="preserve">, </w:t>
      </w:r>
      <w:r>
        <w:rPr>
          <w:rtl w:val="true"/>
        </w:rPr>
        <w:t>נטשו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מהמשיבים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מהמשיבים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2.7.2020</w:t>
      </w:r>
      <w:r>
        <w:rPr>
          <w:rtl w:val="true"/>
        </w:rPr>
        <w:t xml:space="preserve">) -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חיפה</w:t>
      </w:r>
      <w:r>
        <w:rPr>
          <w:rFonts w:cs="David" w:ascii="David" w:hAnsi="David"/>
          <w:rtl w:val="true"/>
        </w:rPr>
        <w:t xml:space="preserve">) </w:t>
      </w:r>
      <w:hyperlink r:id="rId33">
        <w:r>
          <w:rPr>
            <w:rStyle w:val="Hyperlink"/>
            <w:rFonts w:cs="David" w:ascii="David" w:hAnsi="David"/>
            <w:color w:val="0000FF"/>
            <w:u w:val="single"/>
          </w:rPr>
          <w:t>19610-08-21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כרום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30.6.2022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באותה הפרשה הורשע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 של נשק ותחמושת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ירי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תקיפה בנסיבות מחמירות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בת זוג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בתמצית יפורט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למתואר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על רקע סכסוך כספי הגיעו הנאשמים יחד עם גרושתו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אל בית המתלונן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בן דודו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כשנאשם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 בידו אקדח ובתוכו מחסנית טעונה בכדורים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תקף את גרושתו ואיים עליה באמצעות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 בכניסה לבית המתלונן וירה לפחות ארבעה כדורים באוויר לכיוון הבתים הסמוכים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מתגוררים אחיה של גרושתו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בגזר הדין של הח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ובכל הנוגע לעבירות שביצע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והושתו עליו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22029-03-21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שאח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2.6.2022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עזקי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 פרשה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הודה והורשע יחד עם הנאשם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בביצוע 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הובלה ונשיאה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ירי מנשק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לעזקי עסק למכירת 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הממוקם סמוך לחצר 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החזיק ברישיון באקדח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לעסק והעביר את הנשק לעזקי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עזקי יצא מהעסק כשהוא מחזיק ונושא את הנשק טעון במחסנית ובכדורים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כלפי מעלה וירה מספר יריות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עשה כן שוב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עזקי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50986-12-16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9.11.2017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),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כשחזרו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13785-04-15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חסארמה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6.4.2016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</w:rPr>
        <w:t>FN</w:t>
      </w:r>
      <w:r>
        <w:rPr/>
        <w:t xml:space="preserve"> 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ובחצר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בבחינת </w:t>
      </w:r>
      <w:r>
        <w:rPr>
          <w:rFonts w:ascii="David" w:hAnsi="David"/>
          <w:b/>
          <w:b/>
          <w:bCs/>
          <w:rtl w:val="true"/>
        </w:rPr>
        <w:t>הנסיבות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את הדעת על כי הנאשם נשא והוביל את הנשק ברכבו כשהנשק טעון במחסנית ובכדורים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הנסיעה הנאשם 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הגיעו אל אחד הרחובות באבו סנאן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היה מצוי א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המסוכסך עם הנאשם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כשהוא ישוב במאזדה במושב הנוסע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משהתקיימו חילופי 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יצא את רכבו כשבידו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אל עבר המאזדה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בסמוך למקום מושבו של א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וכיוון את הנשק אל עבר רכב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אף שהמאזדה החלה בנסיעה מהמקום על מנת להתחמק מהנאשם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רץ אחריה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וכשהוא במרחק קצר ממנה ירה לפחות שני כדורים כלפי מעלה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מדובר בשורה של מעשים חמורים אשר פוטנציאל הנזק הטמון בהם הוא רב עד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נשיאת נשק מוכן לפעולה מהווה לבדה וכשלעצמה סכנה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וודאי שעה שהנשק מצוי בידו של הנאשם אשר יצא את רכבו ושם פעמיו אל עבר רכב אחר בו מצוי מי אשר מסוכסך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ואף מבצע ירי באמצעות נשק זה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גם אם הירי מבוצע לאוויר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כבענייננו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למרבה המזל הסתיים האירוע בלא נפגעים ברכוש או בגוף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שוו בנפשכם מה עלול היה לקרות אם המאזדה בה היה מצוי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לא הייתה נוסעת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היה מתפתח עימות בין הנוכחים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בנקל כדור תועה היה עלול לגרום לנזק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מן העבר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 נשכח כי פוטנציאל הנזק לא התממש בסופו של דבר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נסיבה זו הינה בעלת משקל לא מבוטל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טרם אקבע את מתחם העונש ההולם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אעמוד על עיקרון אחידות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זה המאשימה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לאבחן את עניינו של הנאשם לחומרה מעניינו של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היות וחלקו של הנאשם דכאן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מרכזי בהרבה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בעל הסכסוך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לבדו ביצע את הירי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עוד עמדה המאשימה על כי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יהאד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נידון לענישה מקלה על רקע תסקיר חיובי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ועל כי מידת מודעותו לא הייתה גדולה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המלומד טען ארוכות בעניין עיקרון אחידות הענישה ובכל הנוגע לג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 נטען מפי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אלמלא תוקן כתב האישום שהוגש כנגד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 רואים בו כשותף מלא ולא כמסייע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נהג ברכב כשהנשק בתוכו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רבות נכתב על אודות עיקרון אחידות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2836/22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אמארה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7.6.2022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360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להחיל שיקולי ענישה דומים על מי שביצעו עבירות דומות במהותן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ושהינם בעלי נסיבות אישיות דומות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מדובר בנאשמים שונים המורשעים במסגרת אותה פרשה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עקרון אחידות הענישה מקבל משנה תוקף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במצב דברים זה מושך עקרון אחידות הענישה לעבר הטלת עונשים דומים על מי שביצעו מעשים 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בשמירה על יחס של שקילות בין מבצעיהם של מעשים הנבדלים זה מזה בחומרתם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: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7350/12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14.1.2013</w:t>
      </w:r>
      <w:r>
        <w:rPr>
          <w:rFonts w:cs="David" w:ascii="David" w:hAnsi="David"/>
          <w:rtl w:val="true"/>
        </w:rPr>
        <w:t xml:space="preserve">);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2274/12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מאדי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27.2.2013</w:t>
      </w:r>
      <w:r>
        <w:rPr>
          <w:rFonts w:cs="David" w:ascii="David" w:hAnsi="David"/>
          <w:rtl w:val="true"/>
        </w:rPr>
        <w:t>))."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כוחו של עיקרון אחידות הענישה יפה גם מקום בו אחד מן הנאשמים הורשע בביצוע עבירה מושלמת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והאחר בסיוע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שמירה על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יחס של שקילות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בין העונשים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למשל 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4959/19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12.6.2022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מצא בית המשפט העליון להקל בעונשו של פלוני שהורשע בביצוע מספר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הגם שעונש זה הוא פרי הסדר טיעון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סגור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והיה נכון בשעתו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מחמת שהוא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פוגע בעיקרון אחידות הענישה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באופן שהצדיק התערבות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לעונשים שהושתו על שני שותפיו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הורשעו בסיוע לכל אותן העבירות בהן הורשע פלוני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בפרשה שלפנינו היו שני מעורבים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שדינו נגזר זה עתה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חלקו של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במעשים קטן באופן משמעותי מזה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נהג ברכב שעה שהנאשם נשא והוביל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קודם בוצע הירי ואף 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לא יצא את הרכב ולא היה שותף לביצוע 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הודה במסגרת הסדר טיעון בעובדות כתב האישום המתוקן שהוגש כנגדו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הורשע </w:t>
      </w:r>
      <w:r>
        <w:rPr>
          <w:rFonts w:ascii="David" w:hAnsi="David"/>
          <w:b/>
          <w:b/>
          <w:bCs/>
          <w:rtl w:val="true"/>
        </w:rPr>
        <w:t>בסיוע</w:t>
      </w:r>
      <w:r>
        <w:rPr>
          <w:rFonts w:ascii="David" w:hAnsi="David"/>
          <w:rtl w:val="true"/>
        </w:rPr>
        <w:t xml:space="preserve"> לעבירות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הובלה ונשיאה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שאפשר וירוצו בעבודות שירות לבין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והשית על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יהאד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וצו מבחן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טמ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החלטה וגזר דין בעניינו של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ב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18539-10-21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7.4.2022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ומיום </w:t>
      </w:r>
      <w:r>
        <w:rPr>
          <w:rFonts w:cs="David" w:ascii="David" w:hAnsi="David"/>
        </w:rPr>
        <w:t>12.7.2022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לעומתו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כזכור הורשע בביצוע העבירות המושלמות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הובלה ונשיאה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ירי מנשק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בשים לב לסעיפי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לאופי ולחומרת המעשים של כל אחד מהמעורבים בפרשה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 כי עונשו של הנאשם צריך להיות משמעותי בהרבה מזה של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לשמור על יחס של מידתיות בין שני המעורבים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יעלה בקנה אחד עם עיקרון אחידות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יחס זה ראוי לו כי יישמר הן בראי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 הרף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בראי הענישה אשר תיגזר על הנאשם בענייננו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ער כמובן למגמת ההחמרה בענישה בעבירות 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העולה מפורשות מפסיקת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ובמיוחד בעת האחרונה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 האמור בעניין פלוני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מנת שהעונש יהלום מגמה זו ובה בעת לא יחטא לעיקרון אחידות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הרף התחתון של המתחם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ובראי הרף התחתון של המתחם שהוצב בעניינו של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ראוי שיעמוד על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יחס זה של מידתיות צריך להישמר גם לגבי הענישה אשר תיגזר על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בהינתן שינויים כאלו ואחרים בין השניים בנסיבות אשר אינן קשורות בביצוע העבירה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המוגנים אשר נפגעו כתוצאה מביצוע העבירה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בשים לב 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מתחם העונש ההולם את מעשיו של הנאשם מצוי </w:t>
      </w:r>
      <w:r>
        <w:rPr>
          <w:rFonts w:ascii="David" w:hAnsi="David"/>
          <w:b/>
          <w:b/>
          <w:bCs/>
          <w:rtl w:val="true"/>
        </w:rPr>
        <w:t xml:space="preserve">בטווח שבין </w:t>
      </w:r>
      <w:r>
        <w:rPr>
          <w:rFonts w:cs="David" w:ascii="David" w:hAnsi="David"/>
          <w:b/>
          <w:bCs/>
        </w:rPr>
        <w:t>27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52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 מצאתי בענייננו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וממילא אינו מצדיק אף הוא סטייה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אפנה להלן לקבוע את העונש המתאים לנאשם בגבולות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43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העונש המתאים לנאשם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הדעת להודאתו של הנאשם בעובדות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הודאה זו לא באה בראשיתו של ניהול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רק לפני שהחלה פרשת ההגנה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עדיין יש בה כדי להביא לחיסכון בזמן שיפוטי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נתון נוסף בעל משקל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יש בו לפעול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גילו הצעיר של הנאשם אשר טרם מלאו לו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בעת ביצוע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נרשמו לחובת הנאשם הרשעות בפלילים קודם ביצוע המעשים מושא 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נעלמה מעיני גם הסולחה שנערכה בעקבות הסכסוך שהוזכר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משמעות הסולחה דובר רבות בפסיקה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מצאתי לשוב ולחזור על הדברים כאן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נתתי דעתי גם לעדותו של מר מישלב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ראש מועצת אבו סנאן לשעבר ויו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ועדת הסולחה אשר היה שותף לעריכת הסולחה ואף הרחיב הדיבור בשבחה של משפחת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נתתי דעתי לעדות אבי הנאשם אשר יצא חוצץ נגד מעשי הנאשם שאף פגעו במשפחה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יסוד נסיבות אלו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רובן ככולן יש בהן להטות את הכף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למקם את עונש מאסרו של הנאשם בסמוך לתחתית המתחם ומעט אל מעבר לשילוש עונשו של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לצד ענישה משמעותית צופה פני עתיד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במכלול ענישה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יהא כדי להרתיע הן את הנאשם והן את עברייני הנשק הפוטנציאליים מפני ביצוע עבירות 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יהא בו להגשים את עיקרון ההלימה לצד עיקרון אחידות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כולי תקווה כי הנאשם אשר גילו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ישוב אל דרך הישר לאחר שירצה עונש מאסר ממושך מאחורי סורג ובריח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השורה התחתונה 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עשרים ושמונה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28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תקופה זו תימנה מיום מעצרו של הנאשם בתאריך </w:t>
      </w:r>
      <w:r>
        <w:rPr>
          <w:rFonts w:cs="David" w:ascii="David" w:hAnsi="David"/>
          <w:b/>
          <w:bCs/>
          <w:sz w:val="24"/>
          <w:szCs w:val="24"/>
        </w:rPr>
        <w:t>23.9.2021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ינוכו ממנה ימי המעצר מיום </w:t>
      </w:r>
      <w:r>
        <w:rPr>
          <w:rFonts w:cs="David" w:ascii="David" w:hAnsi="David"/>
          <w:b/>
          <w:bCs/>
          <w:sz w:val="24"/>
          <w:szCs w:val="24"/>
        </w:rPr>
        <w:t>18.9.2021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ועד </w:t>
      </w:r>
      <w:r>
        <w:rPr>
          <w:rFonts w:cs="David" w:ascii="David" w:hAnsi="David"/>
          <w:b/>
          <w:bCs/>
          <w:sz w:val="24"/>
          <w:szCs w:val="24"/>
        </w:rPr>
        <w:t>21.9.2021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eastAsia="David" w:cs="David"/>
          <w:b/>
          <w:bCs/>
          <w:sz w:val="24"/>
          <w:szCs w:val="24"/>
        </w:rPr>
      </w:pP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שניים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לרבות עבירה של ירי מנשק חם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שמונה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לרבות ירי מנשק חם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של </w:t>
      </w:r>
      <w:r>
        <w:rPr>
          <w:rFonts w:cs="David" w:ascii="David" w:hAnsi="David"/>
          <w:b/>
          <w:bCs/>
          <w:sz w:val="24"/>
          <w:szCs w:val="24"/>
        </w:rPr>
        <w:t>3,000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ישולם תוך </w:t>
      </w:r>
      <w:r>
        <w:rPr>
          <w:rFonts w:cs="David" w:ascii="David" w:hAnsi="David"/>
          <w:b/>
          <w:bCs/>
          <w:sz w:val="24"/>
          <w:szCs w:val="24"/>
        </w:rPr>
        <w:t>90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ימים מהיום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אשר לאופן תשלום הקנס שנפסק לחובת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החוב מועבר למרכז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למועד שנקבע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יהיה לשלם את הקנס כעבור שלושה ימים מיום מתן גזר הדין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44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-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48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4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18557-10-21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רעד נעים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340.a.b.2" TargetMode="External"/><Relationship Id="rId8" Type="http://schemas.openxmlformats.org/officeDocument/2006/relationships/hyperlink" Target="http://www.nevo.co.il/law/70301/340a.a" TargetMode="External"/><Relationship Id="rId9" Type="http://schemas.openxmlformats.org/officeDocument/2006/relationships/hyperlink" Target="http://www.nevo.co.il/law/70301/340a.b.1.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0a.b.1.;340.a.b.2" TargetMode="External"/><Relationship Id="rId15" Type="http://schemas.openxmlformats.org/officeDocument/2006/relationships/hyperlink" Target="http://www.nevo.co.il/case/28513828" TargetMode="External"/><Relationship Id="rId16" Type="http://schemas.openxmlformats.org/officeDocument/2006/relationships/hyperlink" Target="http://www.nevo.co.il/case/25824897" TargetMode="External"/><Relationship Id="rId17" Type="http://schemas.openxmlformats.org/officeDocument/2006/relationships/hyperlink" Target="http://www.nevo.co.il/case/5573417" TargetMode="External"/><Relationship Id="rId18" Type="http://schemas.openxmlformats.org/officeDocument/2006/relationships/hyperlink" Target="http://www.nevo.co.il/case/28883087" TargetMode="External"/><Relationship Id="rId19" Type="http://schemas.openxmlformats.org/officeDocument/2006/relationships/hyperlink" Target="http://www.nevo.co.il/case/28660017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31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340a.a" TargetMode="External"/><Relationship Id="rId24" Type="http://schemas.openxmlformats.org/officeDocument/2006/relationships/hyperlink" Target="http://www.nevo.co.il/law/70301/31" TargetMode="External"/><Relationship Id="rId25" Type="http://schemas.openxmlformats.org/officeDocument/2006/relationships/hyperlink" Target="http://www.nevo.co.il/case/28152125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340a.b.1" TargetMode="External"/><Relationship Id="rId28" Type="http://schemas.openxmlformats.org/officeDocument/2006/relationships/hyperlink" Target="http://www.nevo.co.il/law/70301/244" TargetMode="External"/><Relationship Id="rId29" Type="http://schemas.openxmlformats.org/officeDocument/2006/relationships/hyperlink" Target="http://www.nevo.co.il/case/27915710" TargetMode="External"/><Relationship Id="rId30" Type="http://schemas.openxmlformats.org/officeDocument/2006/relationships/hyperlink" Target="http://www.nevo.co.il/case/27716369" TargetMode="External"/><Relationship Id="rId31" Type="http://schemas.openxmlformats.org/officeDocument/2006/relationships/hyperlink" Target="http://www.nevo.co.il/case/27603872" TargetMode="External"/><Relationship Id="rId32" Type="http://schemas.openxmlformats.org/officeDocument/2006/relationships/hyperlink" Target="http://www.nevo.co.il/case/26492590" TargetMode="External"/><Relationship Id="rId33" Type="http://schemas.openxmlformats.org/officeDocument/2006/relationships/hyperlink" Target="http://www.nevo.co.il/case/29816368" TargetMode="External"/><Relationship Id="rId34" Type="http://schemas.openxmlformats.org/officeDocument/2006/relationships/hyperlink" Target="http://www.nevo.co.il/case/27462558" TargetMode="External"/><Relationship Id="rId35" Type="http://schemas.openxmlformats.org/officeDocument/2006/relationships/hyperlink" Target="http://www.nevo.co.il/case/21824922" TargetMode="External"/><Relationship Id="rId36" Type="http://schemas.openxmlformats.org/officeDocument/2006/relationships/hyperlink" Target="http://www.nevo.co.il/case/20180302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case/28562645" TargetMode="External"/><Relationship Id="rId39" Type="http://schemas.openxmlformats.org/officeDocument/2006/relationships/hyperlink" Target="http://www.nevo.co.il/case/6247752" TargetMode="External"/><Relationship Id="rId40" Type="http://schemas.openxmlformats.org/officeDocument/2006/relationships/hyperlink" Target="http://www.nevo.co.il/case/5578447" TargetMode="External"/><Relationship Id="rId41" Type="http://schemas.openxmlformats.org/officeDocument/2006/relationships/hyperlink" Target="http://www.nevo.co.il/case/25888120" TargetMode="External"/><Relationship Id="rId42" Type="http://schemas.openxmlformats.org/officeDocument/2006/relationships/hyperlink" Target="http://www.nevo.co.il/case/27951273" TargetMode="External"/><Relationship Id="rId43" Type="http://schemas.openxmlformats.org/officeDocument/2006/relationships/hyperlink" Target="http://www.nevo.co.il/law/70301/40ja" TargetMode="External"/><Relationship Id="rId44" Type="http://schemas.openxmlformats.org/officeDocument/2006/relationships/hyperlink" Target="http://www.eca.gov.il/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2023-09-28T10:40:00Z</dcterms:created>
  <dc:creator> </dc:creator>
  <dc:description/>
  <cp:keywords/>
  <dc:language>en-IL</dc:language>
  <cp:lastModifiedBy>h1</cp:lastModifiedBy>
  <dcterms:modified xsi:type="dcterms:W3CDTF">2023-09-28T10:40:00Z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רעד נעים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28513828;25824897;5573417;28883087;28660017;28152125;27915710;27716369;27603872;26492590;29816368;27462558;21824922;20180302;28562645;6247752;5578447;25888120;27951273</vt:lpwstr>
  </property>
  <property fmtid="{D5CDD505-2E9C-101B-9397-08002B2CF9AE}" pid="9" name="CITY">
    <vt:lpwstr>חי'</vt:lpwstr>
  </property>
  <property fmtid="{D5CDD505-2E9C-101B-9397-08002B2CF9AE}" pid="10" name="DATE">
    <vt:lpwstr>20221027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70301/144.a;144.b:5;340a.b.1:2;340.a.b.2;031:2;340a.a;244;40ja</vt:lpwstr>
  </property>
  <property fmtid="{D5CDD505-2E9C-101B-9397-08002B2CF9AE}" pid="15" name="LAWYER">
    <vt:lpwstr>חנא בולוס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18557</vt:lpwstr>
  </property>
  <property fmtid="{D5CDD505-2E9C-101B-9397-08002B2CF9AE}" pid="22" name="NEWPARTB">
    <vt:lpwstr>10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390020221027</vt:lpwstr>
  </property>
  <property fmtid="{D5CDD505-2E9C-101B-9397-08002B2CF9AE}" pid="34" name="TYPE_N_DATE">
    <vt:lpwstr>39020221027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