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tabs>
          <w:tab w:val="clear" w:pos="720"/>
        </w:tabs>
        <w:ind w:end="0"/>
        <w:jc w:val="center"/>
        <w:rPr/>
      </w:pPr>
      <w:r>
        <w:rPr>
          <w:rtl w:val="true"/>
        </w:rPr>
      </w:r>
      <w:bookmarkStart w:id="0" w:name="LastJudge"/>
      <w:bookmarkStart w:id="1" w:name="LastJudge"/>
      <w:bookmarkEnd w:id="1"/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6396"/>
        <w:gridCol w:w="239"/>
        <w:gridCol w:w="2085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 xml:space="preserve">בית המשפט המחוזי בתל אביב </w:t>
            </w:r>
            <w:r>
              <w:rPr>
                <w:rFonts w:cs="Tahoma" w:ascii="Tahoma" w:hAnsi="Tahoma"/>
                <w:b/>
                <w:bCs/>
                <w:color w:val="000080"/>
                <w:sz w:val="20"/>
                <w:szCs w:val="20"/>
                <w:rtl w:val="true"/>
              </w:rPr>
              <w:t xml:space="preserve">- </w:t>
            </w: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יפו</w:t>
            </w:r>
          </w:p>
        </w:tc>
      </w:tr>
      <w:tr>
        <w:trPr>
          <w:trHeight w:val="337" w:hRule="atLeast"/>
        </w:trPr>
        <w:tc>
          <w:tcPr>
            <w:tcW w:w="639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18799-06-13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ראש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)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ואח</w:t>
            </w:r>
            <w:r>
              <w:rPr>
                <w:b/>
                <w:bCs/>
                <w:sz w:val="26"/>
                <w:szCs w:val="26"/>
                <w:rtl w:val="true"/>
              </w:rPr>
              <w:t>'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39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085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17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דצמבר </w:t>
            </w:r>
            <w:r>
              <w:rPr>
                <w:b/>
                <w:bCs/>
                <w:sz w:val="26"/>
                <w:szCs w:val="26"/>
              </w:rPr>
              <w:t>2013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color w:val="000080"/>
          <w:sz w:val="20"/>
          <w:szCs w:val="20"/>
        </w:rPr>
      </w:pPr>
      <w:r>
        <w:rPr>
          <w:rFonts w:cs="Arial" w:ascii="Arial" w:hAnsi="Arial"/>
          <w:b/>
          <w:bCs/>
          <w:color w:val="000080"/>
          <w:sz w:val="20"/>
          <w:szCs w:val="20"/>
          <w:rtl w:val="true"/>
        </w:rPr>
      </w:r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592"/>
        <w:gridCol w:w="7128"/>
      </w:tblGrid>
      <w:tr>
        <w:trPr>
          <w:trHeight w:val="337" w:hRule="atLeast"/>
        </w:trPr>
        <w:tc>
          <w:tcPr>
            <w:tcW w:w="1592" w:type="dxa"/>
            <w:tcBorders/>
          </w:tcPr>
          <w:p>
            <w:pPr>
              <w:pStyle w:val="Header"/>
              <w:bidi w:val="0"/>
              <w:snapToGrid w:val="false"/>
              <w:spacing w:lineRule="auto" w:line="36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7128" w:type="dxa"/>
            <w:tcBorders/>
          </w:tcPr>
          <w:p>
            <w:pPr>
              <w:pStyle w:val="Header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/>
              <w:t>18570-06-13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6"/>
          <w:szCs w:val="6"/>
        </w:rPr>
      </w:pPr>
      <w:r>
        <w:rPr>
          <w:rFonts w:cs="Arial" w:ascii="Arial" w:hAnsi="Arial"/>
          <w:sz w:val="6"/>
          <w:szCs w:val="6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2797"/>
        <w:gridCol w:w="5922"/>
      </w:tblGrid>
      <w:tr>
        <w:trPr/>
        <w:tc>
          <w:tcPr>
            <w:tcW w:w="83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בפני כב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השופט הבכיר צבי גורפינקל</w:t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bookmarkStart w:id="2" w:name="FirstLawyer"/>
            <w:bookmarkStart w:id="3" w:name="FirstAppellant"/>
            <w:bookmarkEnd w:id="2"/>
            <w:bookmarkEnd w:id="3"/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Times New Roman" w:hAnsi="Times New Roman" w:eastAsia="Times New Roman" w:cs="Times New Roman"/>
                <w:rtl w:val="true"/>
              </w:rPr>
              <w:t>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true"/>
              </w:rPr>
              <w:t>מדינת ישראל</w:t>
            </w:r>
          </w:p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bookmarkStart w:id="4" w:name="_GoBack"/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ע</w:t>
            </w:r>
            <w:r>
              <w:rPr>
                <w:rFonts w:eastAsia="Times New Roman" w:cs="Times New Roman" w:ascii="Times New Roman" w:hAnsi="Times New Roman"/>
                <w:b/>
                <w:bCs/>
                <w:rtl w:val="true"/>
              </w:rPr>
              <w:t>"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י ב</w:t>
            </w:r>
            <w:r>
              <w:rPr>
                <w:rFonts w:eastAsia="Times New Roman" w:cs="Times New Roman" w:ascii="Times New Roman" w:hAnsi="Times New Roman"/>
                <w:b/>
                <w:bCs/>
                <w:rtl w:val="true"/>
              </w:rPr>
              <w:t>"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כ עו</w:t>
            </w:r>
            <w:r>
              <w:rPr>
                <w:rFonts w:eastAsia="Times New Roman" w:cs="Times New Roman" w:ascii="Times New Roman" w:hAnsi="Times New Roman"/>
                <w:b/>
                <w:bCs/>
                <w:rtl w:val="true"/>
              </w:rPr>
              <w:t>"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ד גדה</w:t>
            </w:r>
            <w:bookmarkEnd w:id="4"/>
          </w:p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eastAsia="Times New Roman"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eastAsia="Times New Roman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eastAsia="Times New Roman"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Times New Roman" w:hAnsi="Times New Roman" w:eastAsia="Times New Roman" w:cs="Times New Roman"/>
                <w:rtl w:val="true"/>
              </w:rPr>
              <w:t>נאשם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</w:rPr>
              <w:t>2</w:t>
            </w:r>
            <w:r>
              <w:rPr>
                <w:rFonts w:eastAsia="Times New Roman" w:cs="Times New Roman" w:ascii="Times New Roman" w:hAnsi="Times New Roman"/>
                <w:rtl w:val="true"/>
              </w:rPr>
              <w:t>.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 xml:space="preserve">שרון ראש </w:t>
            </w:r>
            <w:r>
              <w:rPr>
                <w:rFonts w:eastAsia="Times New Roman" w:cs="Times New Roman" w:ascii="Times New Roman" w:hAnsi="Times New Roman"/>
                <w:b/>
                <w:bCs/>
                <w:rtl w:val="true"/>
              </w:rPr>
              <w:t xml:space="preserve">-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בעצמו</w:t>
            </w:r>
            <w:r>
              <w:rPr>
                <w:rFonts w:eastAsia="Times New Roman" w:cs="Times New Roman" w:ascii="Times New Roman" w:hAnsi="Times New Roman"/>
                <w:b/>
                <w:bCs/>
                <w:rtl w:val="true"/>
              </w:rPr>
              <w:br/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ע</w:t>
            </w:r>
            <w:r>
              <w:rPr>
                <w:rFonts w:eastAsia="Times New Roman" w:cs="Times New Roman" w:ascii="Times New Roman" w:hAnsi="Times New Roman"/>
                <w:b/>
                <w:bCs/>
                <w:rtl w:val="true"/>
              </w:rPr>
              <w:t>"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י ב</w:t>
            </w:r>
            <w:r>
              <w:rPr>
                <w:rFonts w:eastAsia="Times New Roman" w:cs="Times New Roman" w:ascii="Times New Roman" w:hAnsi="Times New Roman"/>
                <w:b/>
                <w:bCs/>
                <w:rtl w:val="true"/>
              </w:rPr>
              <w:t>"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כ עו</w:t>
            </w:r>
            <w:r>
              <w:rPr>
                <w:rFonts w:eastAsia="Times New Roman" w:cs="Times New Roman" w:ascii="Times New Roman" w:hAnsi="Times New Roman"/>
                <w:b/>
                <w:bCs/>
                <w:rtl w:val="true"/>
              </w:rPr>
              <w:t>"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ד חצרוני</w:t>
            </w:r>
          </w:p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#1#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b w:val="false"/>
          <w:bCs w:val="false"/>
          <w:sz w:val="6"/>
          <w:szCs w:val="6"/>
          <w:u w:val="none"/>
        </w:rPr>
      </w:pPr>
      <w:r>
        <w:rPr>
          <w:b w:val="false"/>
          <w:bCs w:val="false"/>
          <w:sz w:val="6"/>
          <w:szCs w:val="6"/>
          <w:u w:val="none"/>
          <w:rtl w:val="true"/>
        </w:rPr>
      </w:r>
    </w:p>
    <w:p>
      <w:pPr>
        <w:pStyle w:val="12"/>
        <w:ind w:end="0"/>
        <w:jc w:val="center"/>
        <w:rPr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  <w:rtl w:val="true"/>
        </w:rPr>
      </w:r>
      <w:bookmarkStart w:id="5" w:name="StartProtocol"/>
      <w:bookmarkStart w:id="6" w:name="StartProtocol"/>
      <w:bookmarkEnd w:id="6"/>
    </w:p>
    <w:p>
      <w:pPr>
        <w:pStyle w:val="Normal"/>
        <w:spacing w:lineRule="auto" w:line="360"/>
        <w:ind w:end="0"/>
        <w:jc w:val="both"/>
        <w:rPr>
          <w:sz w:val="6"/>
          <w:szCs w:val="6"/>
          <w:u w:val="none"/>
        </w:rPr>
      </w:pPr>
      <w:r>
        <w:rPr>
          <w:sz w:val="6"/>
          <w:szCs w:val="6"/>
          <w:u w:val="none"/>
          <w:rtl w:val="true"/>
        </w:rPr>
      </w:r>
      <w:bookmarkStart w:id="7" w:name="LastJudge"/>
      <w:bookmarkStart w:id="8" w:name="StartProtocol"/>
      <w:bookmarkStart w:id="9" w:name="LawTable"/>
      <w:bookmarkStart w:id="10" w:name="LastJudge"/>
      <w:bookmarkStart w:id="11" w:name="StartProtocol"/>
      <w:bookmarkStart w:id="12" w:name="LawTable"/>
      <w:bookmarkEnd w:id="10"/>
      <w:bookmarkEnd w:id="11"/>
      <w:bookmarkEnd w:id="12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31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6"/>
          <w:szCs w:val="6"/>
        </w:rPr>
      </w:pPr>
      <w:r>
        <w:rPr>
          <w:rFonts w:cs="FrankRuehl" w:ascii="FrankRuehl" w:hAnsi="FrankRuehl"/>
          <w:sz w:val="6"/>
          <w:szCs w:val="6"/>
          <w:rtl w:val="true"/>
        </w:rPr>
      </w:r>
      <w:bookmarkStart w:id="13" w:name="LawTable_End"/>
      <w:bookmarkStart w:id="14" w:name="LawTable_End"/>
      <w:bookmarkEnd w:id="14"/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bookmarkStart w:id="15" w:name="LawTable"/>
      <w:bookmarkEnd w:id="15"/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#2#</w:t>
      </w:r>
      <w:r>
        <w:rPr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16" w:name="PsakDin"/>
      <w:bookmarkEnd w:id="16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 xml:space="preserve">גזר דין </w:t>
      </w: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  <w:t>(</w:t>
      </w: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 xml:space="preserve">נאשם </w:t>
      </w:r>
      <w:r>
        <w:rPr>
          <w:rFonts w:cs="Arial" w:ascii="Arial" w:hAnsi="Arial"/>
          <w:b/>
          <w:bCs/>
          <w:sz w:val="28"/>
          <w:szCs w:val="28"/>
          <w:u w:val="single"/>
        </w:rPr>
        <w:t>2</w:t>
      </w: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</w:rPr>
        <w:t>ׂׂ</w:t>
      </w: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  <w:t>)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  <w:bookmarkStart w:id="17" w:name="PsakDin"/>
      <w:bookmarkStart w:id="18" w:name="PsakDin"/>
      <w:bookmarkEnd w:id="18"/>
    </w:p>
    <w:p>
      <w:pPr>
        <w:pStyle w:val="Normal"/>
        <w:spacing w:lineRule="auto" w:line="360"/>
        <w:ind w:end="0"/>
        <w:jc w:val="start"/>
        <w:rPr>
          <w:rFonts w:ascii="Calibri" w:hAnsi="Calibri" w:cs="Calibri"/>
        </w:rPr>
      </w:pPr>
      <w:bookmarkStart w:id="19" w:name="ABSTRACT_START"/>
      <w:bookmarkEnd w:id="19"/>
      <w:r>
        <w:rPr>
          <w:rFonts w:ascii="Calibri" w:hAnsi="Calibri" w:cs="Calibri"/>
          <w:rtl w:val="true"/>
        </w:rPr>
        <w:t xml:space="preserve">הנאשם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 בקשרי חברות עם סוכן משטרה סמוי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וסיכם עימו למכור לו אקדח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 xml:space="preserve">הסוכן והנאשם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נפגשו בחולון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וסוכם על מכירת האקדח תמורת </w:t>
      </w:r>
      <w:r>
        <w:rPr>
          <w:rFonts w:cs="Calibri" w:ascii="Calibri" w:hAnsi="Calibri"/>
        </w:rPr>
        <w:t>11,000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David"/>
          <w:rtl w:val="true"/>
        </w:rPr>
        <w:t>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למחרת היום נפגשו שני הנאשמים עם הסוכן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הנאשם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הוציא אקדח ממנוע של רכב מסחרי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והעבירו לסוכן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והנאשם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סיפק לסוכן </w:t>
      </w:r>
      <w:r>
        <w:rPr>
          <w:rFonts w:cs="Calibri" w:ascii="Calibri" w:hAnsi="Calibri"/>
        </w:rPr>
        <w:t>19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כדורים לאקדח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והסוכן שילם את התמורה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bookmarkStart w:id="20" w:name="ABSTRACT_END"/>
      <w:bookmarkEnd w:id="20"/>
      <w:r>
        <w:rPr>
          <w:rtl w:val="true"/>
        </w:rPr>
        <w:t xml:space="preserve">בגין זאת הורשע הנאשם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בעבירה של סחר בנשק</w:t>
      </w:r>
      <w:r>
        <w:rPr>
          <w:rtl w:val="true"/>
        </w:rPr>
        <w:t xml:space="preserve">, </w:t>
      </w:r>
      <w:r>
        <w:rPr>
          <w:rtl w:val="true"/>
        </w:rPr>
        <w:t xml:space="preserve">וכן בעבירות נוספות שאינן רלבנטיות לנאשם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 xml:space="preserve">והנאשם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הורשע בעבירה של סיוע לסחר בנשק לפי סע</w:t>
      </w:r>
      <w:r>
        <w:rPr>
          <w:rtl w:val="true"/>
        </w:rPr>
        <w:t xml:space="preserve">' </w:t>
      </w:r>
      <w:hyperlink r:id="rId5">
        <w:r>
          <w:rPr>
            <w:rStyle w:val="Hyperlink"/>
          </w:rPr>
          <w:t>144</w:t>
        </w:r>
        <w:r>
          <w:rPr>
            <w:rStyle w:val="Hyperlink"/>
            <w:rtl w:val="true"/>
          </w:rPr>
          <w:t xml:space="preserve"> 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6">
        <w:r>
          <w:rPr>
            <w:rStyle w:val="Hyperlink"/>
            <w:color w:val="0000FF"/>
            <w:u w:val="single"/>
            <w:rtl w:val="true"/>
          </w:rPr>
          <w:t>חוק העונשין</w:t>
        </w:r>
      </w:hyperlink>
      <w:r>
        <w:rPr>
          <w:rtl w:val="true"/>
        </w:rPr>
        <w:t xml:space="preserve"> בצירוף </w:t>
      </w:r>
      <w:hyperlink r:id="rId7">
        <w:r>
          <w:rPr>
            <w:rStyle w:val="Hyperlink"/>
            <w:rtl w:val="true"/>
          </w:rPr>
          <w:t>סע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</w:rPr>
          <w:t>31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על הנאשם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 xml:space="preserve">נגזר עונש של </w:t>
      </w:r>
      <w:r>
        <w:rPr/>
        <w:t>3.5</w:t>
      </w:r>
      <w:r>
        <w:rPr>
          <w:rtl w:val="true"/>
        </w:rPr>
        <w:t xml:space="preserve"> </w:t>
      </w:r>
      <w:r>
        <w:rPr>
          <w:rtl w:val="true"/>
        </w:rPr>
        <w:t>שנות מאסר בפועל וכן מאסר ע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tl w:val="true"/>
        </w:rPr>
        <w:t xml:space="preserve">, </w:t>
      </w:r>
      <w:r>
        <w:rPr>
          <w:rtl w:val="true"/>
        </w:rPr>
        <w:t xml:space="preserve">וקנס בסך </w:t>
      </w:r>
      <w:r>
        <w:rPr/>
        <w:t>80,000</w:t>
      </w:r>
      <w:r>
        <w:rPr>
          <w:rtl w:val="true"/>
        </w:rPr>
        <w:t xml:space="preserve"> ₪.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באשר לנאשם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הושג הסדר טיעון שמכוחו תוקן כתב האישום בעקבות קשיים ראייתיים</w:t>
      </w:r>
      <w:r>
        <w:rPr>
          <w:rtl w:val="true"/>
        </w:rPr>
        <w:t xml:space="preserve">, </w:t>
      </w:r>
      <w:r>
        <w:rPr>
          <w:rtl w:val="true"/>
        </w:rPr>
        <w:t>והוסכם שעונשו של הנאשם יהיה מאסר  בעבודות שירות ומאסר ע</w:t>
      </w:r>
      <w:r>
        <w:rPr>
          <w:rtl w:val="true"/>
        </w:rPr>
        <w:t>"</w:t>
      </w:r>
      <w:r>
        <w:rPr>
          <w:rtl w:val="true"/>
        </w:rPr>
        <w:t>ת בלבד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מאחר שהעבריין העיקרי בתיק בא על עונשו</w:t>
      </w:r>
      <w:r>
        <w:rPr>
          <w:rtl w:val="true"/>
        </w:rPr>
        <w:t xml:space="preserve">, </w:t>
      </w:r>
      <w:r>
        <w:rPr>
          <w:rtl w:val="true"/>
        </w:rPr>
        <w:t xml:space="preserve">וחלקו של הנאשם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קטן בהרבה</w:t>
      </w:r>
      <w:r>
        <w:rPr>
          <w:rtl w:val="true"/>
        </w:rPr>
        <w:t xml:space="preserve">, </w:t>
      </w:r>
      <w:r>
        <w:rPr>
          <w:rtl w:val="true"/>
        </w:rPr>
        <w:t>לאור הקשיים הראייתיים ובהתחשב בעובדה שהנאשם מסייע לאימו החולה</w:t>
      </w:r>
      <w:r>
        <w:rPr>
          <w:rtl w:val="true"/>
        </w:rPr>
        <w:t xml:space="preserve">, </w:t>
      </w:r>
      <w:r>
        <w:rPr>
          <w:rtl w:val="true"/>
        </w:rPr>
        <w:t>אני גוזר על הנאשם  ששה חודשי מאסר בפועל וכן שנה מאסר ע</w:t>
      </w:r>
      <w:r>
        <w:rPr>
          <w:rtl w:val="true"/>
        </w:rPr>
        <w:t>"</w:t>
      </w:r>
      <w:r>
        <w:rPr>
          <w:rtl w:val="true"/>
        </w:rPr>
        <w:t xml:space="preserve">ת שלא יעבור תוך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 עבירה שעניינה סחר בנשק או החזקת נשק</w:t>
      </w:r>
      <w:r>
        <w:rPr>
          <w:rtl w:val="true"/>
        </w:rPr>
        <w:t xml:space="preserve">, </w:t>
      </w:r>
      <w:r>
        <w:rPr>
          <w:rtl w:val="true"/>
        </w:rPr>
        <w:t>או סיוע לעבירות אלו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עונש המאסר בן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 ירוצה ע</w:t>
      </w:r>
      <w:r>
        <w:rPr>
          <w:rtl w:val="true"/>
        </w:rPr>
        <w:t>"</w:t>
      </w:r>
      <w:r>
        <w:rPr>
          <w:rtl w:val="true"/>
        </w:rPr>
        <w:t>י הנאשם בעבודות שירות בעמותת קשת</w:t>
      </w:r>
      <w:r>
        <w:rPr>
          <w:rtl w:val="true"/>
        </w:rPr>
        <w:t xml:space="preserve">, </w:t>
      </w:r>
      <w:r>
        <w:rPr>
          <w:rtl w:val="true"/>
        </w:rPr>
        <w:t>למען האסיר</w:t>
      </w:r>
      <w:r>
        <w:rPr>
          <w:rtl w:val="true"/>
        </w:rPr>
        <w:t xml:space="preserve">, </w:t>
      </w:r>
      <w:r>
        <w:rPr>
          <w:rtl w:val="true"/>
        </w:rPr>
        <w:t>רח</w:t>
      </w:r>
      <w:r>
        <w:rPr>
          <w:rtl w:val="true"/>
        </w:rPr>
        <w:t xml:space="preserve">' </w:t>
      </w:r>
      <w:r>
        <w:rPr>
          <w:rtl w:val="true"/>
        </w:rPr>
        <w:t xml:space="preserve">לגרדיה </w:t>
      </w:r>
      <w:r>
        <w:rPr/>
        <w:t>76</w:t>
      </w:r>
      <w:r>
        <w:rPr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,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ימים בשבוע</w:t>
      </w:r>
      <w:r>
        <w:rPr>
          <w:rtl w:val="true"/>
        </w:rPr>
        <w:t xml:space="preserve">, </w:t>
      </w:r>
      <w:r>
        <w:rPr/>
        <w:t>8.5</w:t>
      </w:r>
      <w:r>
        <w:rPr>
          <w:rtl w:val="true"/>
        </w:rPr>
        <w:t xml:space="preserve"> </w:t>
      </w:r>
      <w:r>
        <w:rPr>
          <w:rtl w:val="true"/>
        </w:rPr>
        <w:t>שעות עבודה יומיות</w:t>
      </w:r>
      <w:r>
        <w:rPr>
          <w:rtl w:val="true"/>
        </w:rPr>
        <w:t xml:space="preserve">. </w:t>
      </w:r>
      <w:r>
        <w:rPr>
          <w:rtl w:val="true"/>
        </w:rPr>
        <w:t xml:space="preserve">תחילת ריצוי העבודות ביום </w:t>
      </w:r>
      <w:r>
        <w:rPr/>
        <w:t>9.1.14</w:t>
      </w:r>
      <w:r>
        <w:rPr>
          <w:rtl w:val="true"/>
        </w:rPr>
        <w:t xml:space="preserve">, </w:t>
      </w:r>
      <w:r>
        <w:rPr>
          <w:rtl w:val="true"/>
        </w:rPr>
        <w:t>המפקח האחראי</w:t>
      </w:r>
      <w:r>
        <w:rPr>
          <w:rtl w:val="true"/>
        </w:rPr>
        <w:t xml:space="preserve">, </w:t>
      </w:r>
      <w:r>
        <w:rPr>
          <w:rtl w:val="true"/>
        </w:rPr>
        <w:t>סעדה איריס בטל</w:t>
      </w:r>
      <w:r>
        <w:rPr>
          <w:rtl w:val="true"/>
        </w:rPr>
        <w:t xml:space="preserve">' </w:t>
      </w:r>
      <w:r>
        <w:rPr/>
        <w:t>0506279079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על הנאשם להתייצב ביום </w:t>
      </w:r>
      <w:r>
        <w:rPr/>
        <w:t>9.1.14</w:t>
      </w:r>
      <w:r>
        <w:rPr>
          <w:rtl w:val="true"/>
        </w:rPr>
        <w:t xml:space="preserve"> </w:t>
      </w:r>
      <w:r>
        <w:rPr>
          <w:rtl w:val="true"/>
        </w:rPr>
        <w:t>במשרדי הממונה על עבודות שירות במפקדת מחוז מרכז של שב</w:t>
      </w:r>
      <w:r>
        <w:rPr>
          <w:rtl w:val="true"/>
        </w:rPr>
        <w:t>"</w:t>
      </w:r>
      <w:r>
        <w:rPr>
          <w:rtl w:val="true"/>
        </w:rPr>
        <w:t>ס ברמלה</w:t>
      </w:r>
      <w:r>
        <w:rPr>
          <w:rtl w:val="true"/>
        </w:rPr>
        <w:t xml:space="preserve">, </w:t>
      </w:r>
      <w:r>
        <w:rPr>
          <w:rtl w:val="true"/>
        </w:rPr>
        <w:t xml:space="preserve">בשעה </w:t>
      </w:r>
      <w:r>
        <w:rPr/>
        <w:t>08.00</w:t>
      </w:r>
      <w:r>
        <w:rPr>
          <w:rtl w:val="true"/>
        </w:rPr>
        <w:t xml:space="preserve">. </w:t>
      </w:r>
      <w:r>
        <w:rPr>
          <w:rtl w:val="true"/>
        </w:rPr>
        <w:t>הוא מוזהר כי אם לא יתייצב במועד</w:t>
      </w:r>
      <w:r>
        <w:rPr>
          <w:rtl w:val="true"/>
        </w:rPr>
        <w:t xml:space="preserve">, </w:t>
      </w:r>
      <w:r>
        <w:rPr>
          <w:rtl w:val="true"/>
        </w:rPr>
        <w:t>אם לא יתייצב לביצוע עבודות השירות או יפר את ההוראות הניתנות לו</w:t>
      </w:r>
      <w:r>
        <w:rPr>
          <w:rtl w:val="true"/>
        </w:rPr>
        <w:t xml:space="preserve">, </w:t>
      </w:r>
      <w:r>
        <w:rPr>
          <w:rtl w:val="true"/>
        </w:rPr>
        <w:t>יופקעו עבודות השירות ויהיה עליו לשאת מאסרו בתוך כתלי בית הסוהר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העתק גזה</w:t>
      </w:r>
      <w:r>
        <w:rPr>
          <w:rtl w:val="true"/>
        </w:rPr>
        <w:t>"</w:t>
      </w:r>
      <w:r>
        <w:rPr>
          <w:rtl w:val="true"/>
        </w:rPr>
        <w:t>ד יועבר לממונה על עבודות שירות במפקדת מחוז שב</w:t>
      </w:r>
      <w:r>
        <w:rPr>
          <w:rtl w:val="true"/>
        </w:rPr>
        <w:t>"</w:t>
      </w:r>
      <w:r>
        <w:rPr>
          <w:rtl w:val="true"/>
        </w:rPr>
        <w:t>ס רמלה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הפקדון בסך של </w:t>
      </w:r>
      <w:r>
        <w:rPr/>
        <w:t>10,000</w:t>
      </w:r>
      <w:r>
        <w:rPr>
          <w:rtl w:val="true"/>
        </w:rPr>
        <w:t xml:space="preserve"> ₪ </w:t>
      </w:r>
      <w:r>
        <w:rPr>
          <w:rtl w:val="true"/>
        </w:rPr>
        <w:t xml:space="preserve">שהופקד בתיק </w:t>
      </w:r>
      <w:hyperlink r:id="rId8">
        <w:r>
          <w:rPr>
            <w:rStyle w:val="Hyperlink"/>
            <w:color w:val="0000FF"/>
            <w:u w:val="single"/>
            <w:rtl w:val="true"/>
          </w:rPr>
          <w:t>מ</w:t>
        </w:r>
        <w:r>
          <w:rPr>
            <w:rStyle w:val="Hyperlink"/>
            <w:color w:val="0000FF"/>
            <w:u w:val="single"/>
            <w:rtl w:val="true"/>
          </w:rPr>
          <w:t>.</w:t>
        </w:r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 xml:space="preserve">. </w:t>
        </w:r>
        <w:r>
          <w:rPr>
            <w:rStyle w:val="Hyperlink"/>
            <w:color w:val="0000FF"/>
            <w:u w:val="single"/>
          </w:rPr>
          <w:t>18570-06-13</w:t>
        </w:r>
      </w:hyperlink>
      <w:r>
        <w:rPr>
          <w:rtl w:val="true"/>
        </w:rPr>
        <w:t xml:space="preserve"> </w:t>
      </w:r>
      <w:r>
        <w:rPr>
          <w:rtl w:val="true"/>
        </w:rPr>
        <w:t>יועבר לפקודת משרד עוה</w:t>
      </w:r>
      <w:r>
        <w:rPr>
          <w:rtl w:val="true"/>
        </w:rPr>
        <w:t>"</w:t>
      </w:r>
      <w:r>
        <w:rPr>
          <w:rtl w:val="true"/>
        </w:rPr>
        <w:t>ד סננס חצרוני</w:t>
      </w:r>
      <w:r>
        <w:rPr>
          <w:rtl w:val="true"/>
        </w:rPr>
        <w:t xml:space="preserve">, </w:t>
      </w:r>
      <w:r>
        <w:rPr>
          <w:rtl w:val="true"/>
        </w:rPr>
        <w:t>זאת לבקשת 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זכות ערעור תוך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#3#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ind w:end="0"/>
        <w:jc w:val="center"/>
        <w:rPr/>
      </w:pPr>
      <w:r>
        <w:rPr>
          <w:b/>
          <w:bCs/>
          <w:color w:val="FFFFFF"/>
          <w:sz w:val="2"/>
          <w:szCs w:val="2"/>
        </w:rPr>
        <w:t>5129371</w:t>
      </w:r>
      <w:r>
        <w:rPr>
          <w:b/>
          <w:b/>
          <w:bCs/>
          <w:rtl w:val="true"/>
        </w:rPr>
        <w:t>ניתן והודע היום י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 טבת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17/12/2013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</w:t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  <w:color w:val="FFFFFF"/>
                <w:sz w:val="2"/>
                <w:szCs w:val="2"/>
              </w:rPr>
            </w:pPr>
            <w:r>
              <w:rPr>
                <w:rFonts w:eastAsia="Times New Roman" w:cs="Times New Roman" w:ascii="Times New Roman" w:hAnsi="Times New Roman"/>
                <w:color w:val="FFFFFF"/>
                <w:sz w:val="2"/>
                <w:szCs w:val="2"/>
              </w:rPr>
              <w:t>54678313</w:t>
            </w:r>
          </w:p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  <w:color w:val="FFFFFF"/>
                <w:sz w:val="2"/>
                <w:szCs w:val="2"/>
              </w:rPr>
            </w:pPr>
            <w:r>
              <w:rPr>
                <w:rFonts w:eastAsia="Times New Roman" w:cs="Times New Roman" w:ascii="Times New Roman" w:hAnsi="Times New Roman"/>
                <w:color w:val="FFFFFF"/>
                <w:sz w:val="2"/>
                <w:szCs w:val="2"/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rtl w:val="true"/>
              </w:rPr>
              <w:t>צבי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rtl w:val="true"/>
              </w:rPr>
              <w:t>גורפינקל</w:t>
            </w:r>
            <w:r>
              <w:rPr>
                <w:rFonts w:eastAsia="Times New Roman" w:cs="Times New Roman" w:ascii="Times New Roman" w:hAnsi="Times New Roman"/>
                <w:b/>
                <w:bCs/>
                <w:rtl w:val="true"/>
              </w:rPr>
              <w:t xml:space="preserve">, </w:t>
            </w:r>
            <w:r>
              <w:rPr>
                <w:rFonts w:ascii="Times New Roman" w:hAnsi="Times New Roman" w:eastAsia="Times New Roman" w:cs="Times New Roman"/>
                <w:rtl w:val="true"/>
              </w:rPr>
              <w:t>שופט בכיר</w:t>
            </w:r>
          </w:p>
        </w:tc>
      </w:tr>
    </w:tbl>
    <w:p>
      <w:pPr>
        <w:pStyle w:val="Normal"/>
        <w:ind w:end="0"/>
        <w:jc w:val="end"/>
        <w:rPr/>
      </w:pPr>
      <w:r>
        <w:rPr>
          <w:rtl w:val="true"/>
        </w:rPr>
      </w:r>
    </w:p>
    <w:p>
      <w:pPr>
        <w:pStyle w:val="Normal"/>
        <w:ind w:end="0"/>
        <w:jc w:val="center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center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  <w:t>הוקלד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ידי</w:t>
      </w:r>
      <w:r>
        <w:rPr>
          <w:rtl w:val="true"/>
        </w:rPr>
        <w:t xml:space="preserve"> </w:t>
      </w:r>
      <w:r>
        <w:rPr>
          <w:rtl w:val="true"/>
        </w:rPr>
        <w:t>ליאת</w:t>
      </w:r>
      <w:r>
        <w:rPr>
          <w:rtl w:val="true"/>
        </w:rPr>
        <w:t xml:space="preserve"> </w:t>
      </w:r>
      <w:r>
        <w:rPr>
          <w:rtl w:val="true"/>
        </w:rPr>
        <w:t>כהן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צבי גורפינקל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9">
        <w:r>
          <w:rPr>
            <w:rStyle w:val="Hyperlink"/>
            <w:color w:val="0000FF"/>
            <w:u w:val="single"/>
            <w:rtl w:val="true"/>
          </w:rPr>
          <w:t>בעניין עריכה ושינויים במסמכי 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 ועוד באתר נבו – הקש 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10"/>
      <w:footerReference w:type="default" r:id="rId11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auto"/>
    <w:pitch w:val="variable"/>
  </w:font>
  <w:font w:name="Calibri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3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ת</w:t>
    </w:r>
    <w:r>
      <w:rPr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א</w:t>
    </w:r>
    <w:r>
      <w:rPr>
        <w:color w:val="000000"/>
        <w:sz w:val="22"/>
        <w:szCs w:val="22"/>
        <w:rtl w:val="true"/>
      </w:rPr>
      <w:t xml:space="preserve">) </w:t>
    </w:r>
    <w:r>
      <w:rPr>
        <w:color w:val="000000"/>
        <w:sz w:val="22"/>
        <w:szCs w:val="22"/>
      </w:rPr>
      <w:t>18799-06-13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שרון ראש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LineNumber">
    <w:name w:val="lin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31" TargetMode="External"/><Relationship Id="rId4" Type="http://schemas.openxmlformats.org/officeDocument/2006/relationships/hyperlink" Target="http://www.nevo.co.il/law/70301/144.b.2" TargetMode="External"/><Relationship Id="rId5" Type="http://schemas.openxmlformats.org/officeDocument/2006/relationships/hyperlink" Target="http://www.nevo.co.il/law/70301/144.b.2" TargetMode="External"/><Relationship Id="rId6" Type="http://schemas.openxmlformats.org/officeDocument/2006/relationships/hyperlink" Target="http://www.nevo.co.il/law/70301" TargetMode="External"/><Relationship Id="rId7" Type="http://schemas.openxmlformats.org/officeDocument/2006/relationships/hyperlink" Target="http://www.nevo.co.il/law/70301/31" TargetMode="External"/><Relationship Id="rId8" Type="http://schemas.openxmlformats.org/officeDocument/2006/relationships/hyperlink" Target="http://www.nevo.co.il/links/psika/?NEWPROC=&#1502;&#1514;&amp;NEWPARTA=18570&amp;NEWPARTB=06&amp;NEWPARTC=13" TargetMode="External"/><Relationship Id="rId9" Type="http://schemas.openxmlformats.org/officeDocument/2006/relationships/hyperlink" Target="http://www.nevo.co.il/advertisements/nevo-100.doc" TargetMode="External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2013-12-22T13:01:00Z</dcterms:created>
  <dc:creator> </dc:creator>
  <dc:description/>
  <cp:keywords/>
  <dc:language>en-IL</dc:language>
  <cp:lastModifiedBy>hofit</cp:lastModifiedBy>
  <dcterms:modified xsi:type="dcterms:W3CDTF">2013-12-22T13:01:00Z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שרון ראש</vt:lpwstr>
  </property>
  <property fmtid="{D5CDD505-2E9C-101B-9397-08002B2CF9AE}" pid="4" name="CITY">
    <vt:lpwstr>ת"א</vt:lpwstr>
  </property>
  <property fmtid="{D5CDD505-2E9C-101B-9397-08002B2CF9AE}" pid="5" name="DATE">
    <vt:lpwstr>20131217</vt:lpwstr>
  </property>
  <property fmtid="{D5CDD505-2E9C-101B-9397-08002B2CF9AE}" pid="6" name="ISABSTRACT">
    <vt:lpwstr>Y</vt:lpwstr>
  </property>
  <property fmtid="{D5CDD505-2E9C-101B-9397-08002B2CF9AE}" pid="7" name="JUDGE">
    <vt:lpwstr>צבי גורפינקל</vt:lpwstr>
  </property>
  <property fmtid="{D5CDD505-2E9C-101B-9397-08002B2CF9AE}" pid="8" name="LAWLISTTMP1">
    <vt:lpwstr>70301/144.b.2;031</vt:lpwstr>
  </property>
  <property fmtid="{D5CDD505-2E9C-101B-9397-08002B2CF9AE}" pid="9" name="LAWREFLISTTMP1">
    <vt:lpwstr/>
  </property>
  <property fmtid="{D5CDD505-2E9C-101B-9397-08002B2CF9AE}" pid="10" name="LAWYER">
    <vt:lpwstr>גדה;ראש</vt:lpwstr>
  </property>
  <property fmtid="{D5CDD505-2E9C-101B-9397-08002B2CF9AE}" pid="11" name="NEWPARTA">
    <vt:lpwstr>18799</vt:lpwstr>
  </property>
  <property fmtid="{D5CDD505-2E9C-101B-9397-08002B2CF9AE}" pid="12" name="NEWPARTB">
    <vt:lpwstr>06</vt:lpwstr>
  </property>
  <property fmtid="{D5CDD505-2E9C-101B-9397-08002B2CF9AE}" pid="13" name="NEWPARTC">
    <vt:lpwstr>13</vt:lpwstr>
  </property>
  <property fmtid="{D5CDD505-2E9C-101B-9397-08002B2CF9AE}" pid="14" name="NEWPROC">
    <vt:lpwstr>תפ</vt:lpwstr>
  </property>
  <property fmtid="{D5CDD505-2E9C-101B-9397-08002B2CF9AE}" pid="15" name="PSAKDIN">
    <vt:lpwstr>גזר-דין</vt:lpwstr>
  </property>
  <property fmtid="{D5CDD505-2E9C-101B-9397-08002B2CF9AE}" pid="16" name="TYPE">
    <vt:lpwstr>2</vt:lpwstr>
  </property>
  <property fmtid="{D5CDD505-2E9C-101B-9397-08002B2CF9AE}" pid="17" name="TYPE_ABS_DATE">
    <vt:lpwstr>390020131217</vt:lpwstr>
  </property>
  <property fmtid="{D5CDD505-2E9C-101B-9397-08002B2CF9AE}" pid="18" name="TYPE_N_DATE">
    <vt:lpwstr>39020131217</vt:lpwstr>
  </property>
  <property fmtid="{D5CDD505-2E9C-101B-9397-08002B2CF9AE}" pid="19" name="WORDNUMPAGES">
    <vt:lpwstr>2</vt:lpwstr>
  </property>
</Properties>
</file>