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189-01-16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זידאן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סגנית נשיא רות לורך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rtl w:val="true"/>
              </w:rPr>
              <w:br/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וסאם זידאן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נוכחים</w:t>
      </w:r>
      <w:r>
        <w:rPr>
          <w:b w:val="false"/>
          <w:bCs w:val="false"/>
          <w:u w:val="none"/>
          <w:rtl w:val="true"/>
        </w:rPr>
        <w:t xml:space="preserve">: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4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4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יעל בן שמואל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יוסף שלבי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באמצעות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  <w:bookmarkStart w:id="5" w:name="LawTable"/>
      <w:bookmarkStart w:id="6" w:name="LawTable"/>
      <w:bookmarkEnd w:id="6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32"/>
          <w:szCs w:val="32"/>
          <w:u w:val="none"/>
        </w:rPr>
      </w:pPr>
      <w:r>
        <w:rPr>
          <w:rFonts w:cs="FrankRuehl" w:ascii="FrankRuehl" w:hAnsi="FrankRuehl"/>
          <w:b w:val="false"/>
          <w:bCs w:val="false"/>
          <w:sz w:val="32"/>
          <w:szCs w:val="32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1973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13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5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rFonts w:ascii="FrankRuehl" w:hAnsi="FrankRuehl" w:cs="FrankRuehl"/>
          <w:b w:val="false"/>
          <w:bCs w:val="false"/>
          <w:sz w:val="32"/>
          <w:szCs w:val="32"/>
          <w:u w:val="none"/>
        </w:rPr>
      </w:pPr>
      <w:r>
        <w:rPr>
          <w:rFonts w:cs="FrankRuehl" w:ascii="FrankRuehl" w:hAnsi="FrankRuehl"/>
          <w:b w:val="false"/>
          <w:bCs w:val="false"/>
          <w:sz w:val="32"/>
          <w:szCs w:val="32"/>
          <w:u w:val="none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  <w:bookmarkStart w:id="9" w:name="PsakDin"/>
      <w:bookmarkEnd w:id="9"/>
      <w:r>
        <w:rPr>
          <w:rFonts w:ascii="Times New Roman" w:hAnsi="Times New Roman" w:eastAsia="Times New Roman" w:cs="Times New Roman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</w:rPr>
      </w:pPr>
      <w:bookmarkStart w:id="12" w:name="ABSTRACT_START"/>
      <w:bookmarkEnd w:id="12"/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שניתנה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הבאות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ascii="Calibri" w:hAnsi="Calibri" w:eastAsia="Times New Roman" w:cs="Calibri"/>
          <w:rtl w:val="true"/>
        </w:rPr>
        <w:t>קשירת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13</w:t>
        </w:r>
      </w:hyperlink>
      <w:r>
        <w:rPr>
          <w:rFonts w:eastAsia="Times New Roman" w:cs="Calibri" w:ascii="Calibri" w:hAnsi="Calibri"/>
          <w:rtl w:val="true"/>
        </w:rPr>
        <w:t xml:space="preserve"> + </w:t>
      </w:r>
      <w:hyperlink r:id="rId10"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19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11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[</w:t>
      </w:r>
      <w:r>
        <w:rPr>
          <w:rFonts w:ascii="Calibri" w:hAnsi="Calibri" w:eastAsia="Times New Roman" w:cs="Calibri"/>
          <w:rtl w:val="true"/>
        </w:rPr>
        <w:t>נוסח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חדש</w:t>
      </w:r>
      <w:r>
        <w:rPr>
          <w:rFonts w:eastAsia="Times New Roman" w:cs="Calibri" w:ascii="Calibri" w:hAnsi="Calibri"/>
          <w:rtl w:val="true"/>
        </w:rPr>
        <w:t xml:space="preserve">], </w:t>
      </w:r>
      <w:r>
        <w:rPr>
          <w:rFonts w:ascii="Calibri" w:hAnsi="Calibri" w:eastAsia="Times New Roman" w:cs="Calibri"/>
          <w:rtl w:val="true"/>
        </w:rPr>
        <w:t>תשל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ג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1973</w:t>
      </w:r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הפקודה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2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13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העונשין</w:t>
        </w:r>
      </w:hyperlink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ז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1977</w:t>
      </w:r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ascii="Calibri" w:hAnsi="Calibri" w:eastAsia="Times New Roman" w:cs="Calibri"/>
          <w:rtl w:val="true"/>
        </w:rPr>
        <w:t>להן</w:t>
      </w:r>
      <w:r>
        <w:rPr>
          <w:rFonts w:eastAsia="Times New Roman" w:cs="Calibri" w:ascii="Calibri" w:hAnsi="Calibri"/>
          <w:rtl w:val="true"/>
        </w:rPr>
        <w:t>: "</w:t>
      </w:r>
      <w:r>
        <w:rPr>
          <w:rFonts w:ascii="Calibri" w:hAnsi="Calibri" w:eastAsia="Times New Roman" w:cs="Calibri"/>
          <w:b/>
          <w:b/>
          <w:bCs/>
          <w:rtl w:val="true"/>
        </w:rPr>
        <w:t>החוק</w:t>
      </w:r>
      <w:r>
        <w:rPr>
          <w:rFonts w:eastAsia="Times New Roman" w:cs="Calibri" w:ascii="Calibri" w:hAnsi="Calibri"/>
          <w:rtl w:val="true"/>
        </w:rPr>
        <w:t xml:space="preserve">"); </w:t>
      </w:r>
      <w:r>
        <w:rPr>
          <w:rFonts w:ascii="Calibri" w:hAnsi="Calibri" w:eastAsia="Times New Roman" w:cs="Calibri"/>
          <w:rtl w:val="true"/>
        </w:rPr>
        <w:t>רכישת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לחוק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rtl w:val="true"/>
        </w:rPr>
        <w:t>נשיאה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והובלת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לחוק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שיוטל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כתב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המתוקן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/>
          <w:bCs/>
          <w:rtl w:val="true"/>
        </w:rPr>
        <w:t>בהתאם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לעובדות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האישום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הראשון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10.12.2015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לסחור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אקסטזי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הילאל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שזהותו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ידועה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הילאל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20-30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אקסטזי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הילאל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ימכור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50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יקנה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ימכור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/>
          <w:bCs/>
          <w:rtl w:val="true"/>
        </w:rPr>
        <w:t>בהתאם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לעובדות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האישום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השני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13.12.2015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מחסום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תאנים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לטול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כרם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לטול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כרם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תת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מקלע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מאולתר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קרלו</w:t>
      </w:r>
      <w:r>
        <w:rPr>
          <w:rFonts w:eastAsia="Times New Roman" w:cs="Calibri" w:ascii="Calibri" w:hAnsi="Calibri"/>
          <w:rtl w:val="true"/>
        </w:rPr>
        <w:t xml:space="preserve">", </w:t>
      </w:r>
      <w:r>
        <w:rPr>
          <w:rFonts w:ascii="Calibri" w:hAnsi="Calibri" w:eastAsia="Times New Roman" w:cs="Calibri"/>
          <w:rtl w:val="true"/>
        </w:rPr>
        <w:t>מחסנית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תואמת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וקופסת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המכילה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9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הימנית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הקדמית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ברכב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בהמשך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21:25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נסע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חזרה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המחסום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להיכנס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לשטח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ישראל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שערכו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חיפוש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ומצאו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והתחמושת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הראיות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הטיעונים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ההגנה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הבכור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זידאן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האח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ובייחוד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בהוריו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התדרדר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הבריאותי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המורחבת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מתכוונים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להתגבר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בעיותיו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ע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ארבע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רכוש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מהשנים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1993-2002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בגינן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למאסרים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ולקנסות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כ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54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rtl w:val="true"/>
        </w:rPr>
        <w:t>נטען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מדינה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בהחמרת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ובהתרעה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פסקי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בשטחי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הפלסטינית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הובלתו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ונשיאתו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שנתפס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להרשעתו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אמנם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להשוותו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שזוהי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הראשונה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עותרת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וקנס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עותרת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לחלט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כ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מתחם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העונש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ההולם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עבירות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הנשק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נע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</w:rPr>
        <w:t>10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</w:t>
      </w:r>
      <w:r>
        <w:rPr>
          <w:rFonts w:eastAsia="Times New Roman" w:cs="Calibri" w:ascii="Calibri" w:hAnsi="Calibri"/>
          <w:b/>
          <w:bCs/>
          <w:rtl w:val="true"/>
        </w:rPr>
        <w:t>-</w:t>
      </w:r>
      <w:r>
        <w:rPr>
          <w:rFonts w:eastAsia="Times New Roman" w:cs="Calibri" w:ascii="Calibri" w:hAnsi="Calibri"/>
          <w:b/>
          <w:bCs/>
        </w:rPr>
        <w:t>24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חודשי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מאסר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בפועל</w:t>
      </w:r>
      <w:r>
        <w:rPr>
          <w:rFonts w:eastAsia="Times New Roman" w:cs="Calibri" w:ascii="Calibri" w:hAnsi="Calibri"/>
          <w:b/>
          <w:bCs/>
          <w:rtl w:val="true"/>
        </w:rPr>
        <w:t>.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ההחמרה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צריכה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להיעשות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בהדרגתיות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שנתפס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שפוטנציאל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לנשקים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מטרת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ארנבות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להשיג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כדורים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לחודשיים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rtl w:val="true"/>
        </w:rPr>
        <w:t>נטען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40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נשוי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ילדים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קודם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החזיק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בעסק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פחחות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וצבע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מוסך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משבר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נקלע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שהתברר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ילדים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נישואין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וניסיונות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הנפשי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התדרדר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הכלכלי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והעסק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קרס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ונסגר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לגורמים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עברייניים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שוליים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rtl w:val="true"/>
        </w:rPr>
        <w:t>נטען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ישנות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לחומרא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2002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למעצרו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הסתבך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בפלילים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חדש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בחייו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ארוכים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וחש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מצוקה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נגדו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ומתחייב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ולבצע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לשיקולים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עותרת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ההגנה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המתחם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10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והתחייבות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מעבירה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ההגנה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15,000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התנגדה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לחילוטו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דבריו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ע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).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והסביר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נבעו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מהמצוקה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המשפחתיות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הזדמנות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דרכיו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אישומים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הנבדלים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למבחנים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שנקבעו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בפסיקה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מהאישומים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בנפרד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u w:val="single"/>
          <w:rtl w:val="true"/>
        </w:rPr>
        <w:t>במסגרת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האישום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הראשון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לסחור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אקסטזי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לרכוש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שזהותו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20-30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אסקטזי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u w:val="single"/>
          <w:rtl w:val="true"/>
        </w:rPr>
        <w:t>הערך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החברתי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בבסיס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מסוכנים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ובנפש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לכמות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הקטנה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מאידך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שהעסקה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לבסוף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מתחם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העונש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ההולם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נע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מאסר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קצר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לריצוי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בעבודות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שירות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</w:t>
      </w:r>
      <w:r>
        <w:rPr>
          <w:rFonts w:eastAsia="Times New Roman" w:cs="Calibri" w:ascii="Calibri" w:hAnsi="Calibri"/>
          <w:b/>
          <w:bCs/>
          <w:rtl w:val="true"/>
        </w:rPr>
        <w:t>-</w:t>
      </w:r>
      <w:r>
        <w:rPr>
          <w:rFonts w:eastAsia="Times New Roman" w:cs="Calibri" w:ascii="Calibri" w:hAnsi="Calibri"/>
          <w:b/>
          <w:bCs/>
        </w:rPr>
        <w:t>8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חודשי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מאסר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השוו</w:t>
      </w:r>
      <w:r>
        <w:rPr>
          <w:rFonts w:eastAsia="Times New Roman" w:cs="Calibri" w:ascii="Calibri" w:hAnsi="Calibri"/>
          <w:rtl w:val="true"/>
        </w:rPr>
        <w:t xml:space="preserve">: </w:t>
      </w:r>
      <w:hyperlink r:id="rId16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פתח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תקווה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34055-07-13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עמר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22.12.2013</w:t>
      </w:r>
      <w:r>
        <w:rPr>
          <w:rFonts w:ascii="Calibri" w:hAnsi="Calibri" w:eastAsia="Times New Roman" w:cs="Calibri"/>
        </w:rPr>
        <w:t>ׂ</w:t>
      </w:r>
      <w:r>
        <w:rPr>
          <w:rFonts w:eastAsia="Times New Roman" w:cs="Calibri" w:ascii="Calibri" w:hAnsi="Calibri"/>
          <w:rtl w:val="true"/>
        </w:rPr>
        <w:t xml:space="preserve">); </w:t>
      </w:r>
      <w:hyperlink r:id="rId17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21617-03-12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גראדאת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21.10.2012</w:t>
      </w:r>
      <w:r>
        <w:rPr>
          <w:rFonts w:eastAsia="Times New Roman" w:cs="Calibri" w:ascii="Calibri" w:hAnsi="Calibri"/>
          <w:rtl w:val="true"/>
        </w:rPr>
        <w:t>)).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567"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u w:val="single"/>
          <w:rtl w:val="true"/>
        </w:rPr>
        <w:t>במסגרת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האישום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u w:val="single"/>
          <w:rtl w:val="true"/>
        </w:rPr>
        <w:t>הערך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החברתי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בגוף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זמינות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מורשה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והעברתו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מבוקר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מפשע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567"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לנסיבות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ביצוע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שרכש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מאולתר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מקלע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למחסנית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שנרכשו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עימו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פוטנציאל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הטמון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להתעלם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נתפס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רכישת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והתחמושת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הובלת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ונשיאתו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נמשכה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בניגוד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הנדונים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בפסיקה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ברכישת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חקירתו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רכישת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נועדה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לצורכי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ציד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u w:val="single"/>
          <w:rtl w:val="true"/>
        </w:rPr>
        <w:t>מדיניות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יוצרות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ובטחונו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ההרתעה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היחיד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הרבים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משקל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ראו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למשל</w:t>
      </w:r>
      <w:r>
        <w:rPr>
          <w:rFonts w:eastAsia="Times New Roman" w:cs="Calibri" w:ascii="Calibri" w:hAnsi="Calibri"/>
          <w:rtl w:val="true"/>
        </w:rPr>
        <w:t xml:space="preserve">: </w:t>
      </w:r>
      <w:hyperlink r:id="rId18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2398/14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אלהזייל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8.7.2014</w:t>
      </w:r>
      <w:r>
        <w:rPr>
          <w:rFonts w:eastAsia="Times New Roman" w:cs="Calibri" w:ascii="Calibri" w:hAnsi="Calibri"/>
          <w:rtl w:val="true"/>
        </w:rPr>
        <w:t xml:space="preserve">); </w:t>
      </w:r>
      <w:hyperlink r:id="rId19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5681/14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טאטור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1.2.2015</w:t>
      </w:r>
      <w:r>
        <w:rPr>
          <w:rFonts w:eastAsia="Times New Roman" w:cs="Calibri" w:ascii="Calibri" w:hAnsi="Calibri"/>
          <w:rtl w:val="true"/>
        </w:rPr>
        <w:t>)).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בפסק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hyperlink r:id="rId20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49160-11-15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נאסר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10.4.2016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אליו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עמדתי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ריבוי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במחוז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המרכז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הגדול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מבצעי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שהפיכתם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מכת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מחוז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מחייבת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בענישה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עמדתי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להלכות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בהדרגתיות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ובמתינות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באותו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אקדח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שהוחזק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מוסלק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מחסניות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וכדורים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תואמים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10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מאוחרת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האקדח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המחסניות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ובתוכה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למושב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ברכבו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והשניים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ברחובות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טירה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באותו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קבעתי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מתחם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העונש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ההולם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את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העבירות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נע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בין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u w:val="single"/>
        </w:rPr>
        <w:t>18</w:t>
      </w:r>
      <w:r>
        <w:rPr>
          <w:rFonts w:eastAsia="Times New Roman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ל</w:t>
      </w:r>
      <w:r>
        <w:rPr>
          <w:rFonts w:eastAsia="Times New Roman" w:cs="Calibri" w:ascii="Calibri" w:hAnsi="Calibri"/>
          <w:u w:val="single"/>
          <w:rtl w:val="true"/>
        </w:rPr>
        <w:t>-</w:t>
      </w:r>
      <w:r>
        <w:rPr>
          <w:rFonts w:eastAsia="Times New Roman" w:cs="Calibri" w:ascii="Calibri" w:hAnsi="Calibri"/>
          <w:u w:val="single"/>
        </w:rPr>
        <w:t>40</w:t>
      </w:r>
      <w:r>
        <w:rPr>
          <w:rFonts w:eastAsia="Times New Roman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חודשי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מאסר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בפועל</w:t>
      </w:r>
      <w:r>
        <w:rPr>
          <w:rFonts w:eastAsia="Times New Roman" w:cs="Calibri" w:ascii="Calibri" w:hAnsi="Calibri"/>
          <w:u w:val="single"/>
          <w:rtl w:val="true"/>
        </w:rPr>
        <w:t>.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ונשיאת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מענייננו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לענייננו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hyperlink r:id="rId21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6136-07-14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שריתאח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6.1.2015</w:t>
      </w:r>
      <w:r>
        <w:rPr>
          <w:rFonts w:eastAsia="Times New Roman" w:cs="Calibri" w:ascii="Calibri" w:hAnsi="Calibri"/>
          <w:rtl w:val="true"/>
        </w:rPr>
        <w:t xml:space="preserve">). </w:t>
      </w:r>
      <w:r>
        <w:rPr>
          <w:rFonts w:ascii="Calibri" w:hAnsi="Calibri" w:eastAsia="Times New Roman" w:cs="Calibri"/>
          <w:rtl w:val="true"/>
        </w:rPr>
        <w:t>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שנסע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לנעלין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מקלע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דמוי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קרל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גוסטב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מחסנית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9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כדורים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הסליק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והמחסנית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בנסיעה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מטרת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רכישת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חתונה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נתפס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מבלי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כב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ascii="Calibri" w:hAnsi="Calibri" w:eastAsia="Times New Roman" w:cs="Calibri"/>
          <w:rtl w:val="true"/>
        </w:rPr>
        <w:t>סגנית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הנשיא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השופטת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מרוז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u w:val="single"/>
          <w:rtl w:val="true"/>
        </w:rPr>
        <w:t>מתחם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העונש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ההולם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נע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בין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u w:val="single"/>
        </w:rPr>
        <w:t>10</w:t>
      </w:r>
      <w:r>
        <w:rPr>
          <w:rFonts w:eastAsia="Times New Roman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ל</w:t>
      </w:r>
      <w:r>
        <w:rPr>
          <w:rFonts w:eastAsia="Times New Roman" w:cs="Calibri" w:ascii="Calibri" w:hAnsi="Calibri"/>
          <w:u w:val="single"/>
          <w:rtl w:val="true"/>
        </w:rPr>
        <w:t>-</w:t>
      </w:r>
      <w:r>
        <w:rPr>
          <w:rFonts w:eastAsia="Times New Roman" w:cs="Calibri" w:ascii="Calibri" w:hAnsi="Calibri"/>
          <w:u w:val="single"/>
        </w:rPr>
        <w:t>36</w:t>
      </w:r>
      <w:r>
        <w:rPr>
          <w:rFonts w:eastAsia="Times New Roman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חודשי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מאסר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hyperlink r:id="rId22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4945/13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סלימאן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19.1.2014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שרכש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קרל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גוסטב</w:t>
      </w:r>
      <w:r>
        <w:rPr>
          <w:rFonts w:eastAsia="Times New Roman" w:cs="Calibri" w:ascii="Calibri" w:hAnsi="Calibri"/>
          <w:rtl w:val="true"/>
        </w:rPr>
        <w:t xml:space="preserve">", </w:t>
      </w:r>
      <w:r>
        <w:rPr>
          <w:rFonts w:ascii="Calibri" w:hAnsi="Calibri" w:eastAsia="Times New Roman" w:cs="Calibri"/>
          <w:rtl w:val="true"/>
        </w:rPr>
        <w:t>מחסנית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וכדורים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באמצעות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באוויר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בחורשה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סמוכה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ליישוב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הטמין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מסתור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בהמשך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נהג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המטען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משהבחין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בשוטרים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נטש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ונמלט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מהמקום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קיבל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מתחם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העונש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ההולם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את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המעשים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נע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בין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u w:val="single"/>
        </w:rPr>
        <w:t>12</w:t>
      </w:r>
      <w:r>
        <w:rPr>
          <w:rFonts w:eastAsia="Times New Roman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ל</w:t>
      </w:r>
      <w:r>
        <w:rPr>
          <w:rFonts w:eastAsia="Times New Roman" w:cs="Calibri" w:ascii="Calibri" w:hAnsi="Calibri"/>
          <w:u w:val="single"/>
          <w:rtl w:val="true"/>
        </w:rPr>
        <w:t>-</w:t>
      </w:r>
      <w:r>
        <w:rPr>
          <w:rFonts w:eastAsia="Times New Roman" w:cs="Calibri" w:ascii="Calibri" w:hAnsi="Calibri"/>
          <w:u w:val="single"/>
        </w:rPr>
        <w:t>36</w:t>
      </w:r>
      <w:r>
        <w:rPr>
          <w:rFonts w:eastAsia="Times New Roman" w:cs="Calibri" w:ascii="Calibri" w:hAnsi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חודשי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מאסר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בפועל</w:t>
      </w:r>
      <w:r>
        <w:rPr>
          <w:rFonts w:eastAsia="Times New Roman" w:cs="Calibri" w:ascii="Calibri" w:hAnsi="Calibri"/>
          <w:u w:val="single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לענייננו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ראו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למשל</w:t>
      </w:r>
      <w:r>
        <w:rPr>
          <w:rFonts w:eastAsia="Times New Roman" w:cs="Calibri" w:ascii="Calibri" w:hAnsi="Calibri"/>
          <w:rtl w:val="true"/>
        </w:rPr>
        <w:t xml:space="preserve">: </w:t>
      </w:r>
      <w:hyperlink r:id="rId23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תל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אביב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יפו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6904-12-14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כבהא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30.4.2015</w:t>
      </w:r>
      <w:r>
        <w:rPr>
          <w:rFonts w:eastAsia="Times New Roman" w:cs="Calibri" w:ascii="Calibri" w:hAnsi="Calibri"/>
          <w:rtl w:val="true"/>
        </w:rPr>
        <w:t>)).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יצוין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ההגנה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פסקי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דין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נגזרו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והובלת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שנסיבותיהם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מענייננו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חוקית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rtl w:val="true"/>
        </w:rPr>
        <w:t>בהתחשב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מתחם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העונש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ההולם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האישום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השני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נע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</w:rPr>
        <w:t>12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</w:t>
      </w:r>
      <w:r>
        <w:rPr>
          <w:rFonts w:eastAsia="Times New Roman" w:cs="Calibri" w:ascii="Calibri" w:hAnsi="Calibri"/>
          <w:b/>
          <w:bCs/>
          <w:rtl w:val="true"/>
        </w:rPr>
        <w:t>-</w:t>
      </w:r>
      <w:r>
        <w:rPr>
          <w:rFonts w:eastAsia="Times New Roman" w:cs="Calibri" w:ascii="Calibri" w:hAnsi="Calibri"/>
          <w:b/>
          <w:bCs/>
        </w:rPr>
        <w:t>36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חודשי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מאסר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בפועל</w:t>
      </w:r>
      <w:r>
        <w:rPr>
          <w:rFonts w:eastAsia="Times New Roman"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גזירת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עונשו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הנאשם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שקלתי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לקיחת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לסייג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ולומר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שהראיות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אפשרו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נתפס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מתוצרי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האזנת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סתר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rtl w:val="true"/>
        </w:rPr>
        <w:t>התחשבתי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משבר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נקלע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המשפחתיות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rtl w:val="true"/>
        </w:rPr>
        <w:t>שקלתי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לחומרא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נפרדת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במעידה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פעמית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שבוצעו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זמנים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בלבד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ארבע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רכוש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האחרונה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2002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בגינן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למאסרים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ולקנסות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עסק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לפרנסתו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בכליאה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מצדיק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התחשבות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מסוימת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המאסר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ובכוונתה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להשתקם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שחרורו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מהמאסר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567" w:start="567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ולחומרא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החלטתי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באמצעו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</w:rPr>
        <w:t>26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13.12.2015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1440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</w:rPr>
        <w:t>10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שחרורו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פשע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1440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שחרורו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המסוכנים</w:t>
        </w:r>
      </w:hyperlink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התנגדות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ההגנה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ומאחר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חילוט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סובארו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שמספרו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3608123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תחתיו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תשלומים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ורצופים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1.9.2016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גובה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בחילוט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לבית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העליון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תוך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45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ימים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מהיום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.</w:t>
      </w:r>
    </w:p>
    <w:tbl>
      <w:tblPr>
        <w:tblpPr w:vertAnchor="text" w:horzAnchor="margin" w:tblpXSpec="left" w:rightFromText="180" w:tblpY="397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"/>
                <w:szCs w:val="2"/>
                <w:u w:val="single"/>
              </w:rPr>
              <w:t>54678313</w:t>
            </w:r>
            <w:r>
              <w:rPr>
                <w:rFonts w:ascii="Calibri" w:hAnsi="Calibri" w:eastAsia="Times New Roman" w:cs="Calibri"/>
                <w:b/>
                <w:b/>
                <w:bCs/>
                <w:u w:val="single"/>
                <w:rtl w:val="true"/>
              </w:rPr>
              <w:t>ניתן</w:t>
            </w:r>
            <w:r>
              <w:rPr>
                <w:rFonts w:ascii="Calibri" w:hAnsi="Calibri" w:eastAsia="Times New Roman" w:cs="Calibri"/>
                <w:b/>
                <w:b/>
                <w:bCs/>
                <w:u w:val="single"/>
                <w:rtl w:val="true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b/>
                <w:bCs/>
                <w:u w:val="single"/>
                <w:rtl w:val="true"/>
              </w:rPr>
              <w:t>והודע</w:t>
            </w:r>
            <w:r>
              <w:rPr>
                <w:rFonts w:ascii="Calibri" w:hAnsi="Calibri" w:eastAsia="Times New Roman" w:cs="Calibri"/>
                <w:b/>
                <w:b/>
                <w:bCs/>
                <w:u w:val="single"/>
                <w:rtl w:val="true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b/>
                <w:bCs/>
                <w:u w:val="single"/>
                <w:rtl w:val="true"/>
              </w:rPr>
              <w:t>היום</w:t>
            </w:r>
            <w:r>
              <w:rPr>
                <w:rFonts w:eastAsia="Times New Roman" w:cs="Calibri" w:ascii="Calibri" w:hAnsi="Calibri"/>
                <w:b/>
                <w:bCs/>
                <w:u w:val="single"/>
                <w:rtl w:val="true"/>
              </w:rPr>
              <w:t xml:space="preserve">, </w:t>
            </w:r>
            <w:r>
              <w:rPr>
                <w:rFonts w:ascii="Calibri" w:hAnsi="Calibri" w:eastAsia="Times New Roman" w:cs="Calibri"/>
                <w:b/>
                <w:b/>
                <w:bCs/>
                <w:u w:val="single"/>
                <w:rtl w:val="true"/>
              </w:rPr>
              <w:t>כ</w:t>
            </w:r>
            <w:r>
              <w:rPr>
                <w:rFonts w:eastAsia="Times New Roman" w:cs="Calibri" w:ascii="Calibri" w:hAnsi="Calibri"/>
                <w:b/>
                <w:bCs/>
                <w:u w:val="single"/>
                <w:rtl w:val="true"/>
              </w:rPr>
              <w:t>"</w:t>
            </w:r>
            <w:r>
              <w:rPr>
                <w:rFonts w:ascii="Calibri" w:hAnsi="Calibri" w:eastAsia="Times New Roman" w:cs="Calibri"/>
                <w:b/>
                <w:b/>
                <w:bCs/>
                <w:u w:val="single"/>
                <w:rtl w:val="true"/>
              </w:rPr>
              <w:t>ב</w:t>
            </w:r>
            <w:r>
              <w:rPr>
                <w:rFonts w:ascii="Calibri" w:hAnsi="Calibri" w:eastAsia="Times New Roman" w:cs="Calibri"/>
                <w:b/>
                <w:b/>
                <w:bCs/>
                <w:u w:val="single"/>
                <w:rtl w:val="true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b/>
                <w:bCs/>
                <w:u w:val="single"/>
                <w:rtl w:val="true"/>
              </w:rPr>
              <w:t>בתמוז</w:t>
            </w:r>
            <w:r>
              <w:rPr>
                <w:rFonts w:ascii="Calibri" w:hAnsi="Calibri" w:eastAsia="Times New Roman" w:cs="Calibri"/>
                <w:b/>
                <w:b/>
                <w:bCs/>
                <w:u w:val="single"/>
                <w:rtl w:val="true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b/>
                <w:bCs/>
                <w:u w:val="single"/>
                <w:rtl w:val="true"/>
              </w:rPr>
              <w:t>תשע</w:t>
            </w:r>
            <w:r>
              <w:rPr>
                <w:rFonts w:eastAsia="Times New Roman" w:cs="Calibri" w:ascii="Calibri" w:hAnsi="Calibri"/>
                <w:b/>
                <w:bCs/>
                <w:u w:val="single"/>
                <w:rtl w:val="true"/>
              </w:rPr>
              <w:t>"</w:t>
            </w:r>
            <w:r>
              <w:rPr>
                <w:rFonts w:ascii="Calibri" w:hAnsi="Calibri" w:eastAsia="Times New Roman" w:cs="Calibri"/>
                <w:b/>
                <w:b/>
                <w:bCs/>
                <w:u w:val="single"/>
                <w:rtl w:val="true"/>
              </w:rPr>
              <w:t>ו</w:t>
            </w:r>
            <w:r>
              <w:rPr>
                <w:rFonts w:eastAsia="Times New Roman" w:cs="Calibri" w:ascii="Calibri" w:hAnsi="Calibri"/>
                <w:b/>
                <w:bCs/>
                <w:u w:val="single"/>
                <w:rtl w:val="true"/>
              </w:rPr>
              <w:t xml:space="preserve">, </w:t>
            </w:r>
            <w:r>
              <w:rPr>
                <w:rFonts w:eastAsia="Times New Roman" w:cs="Calibri" w:ascii="Calibri" w:hAnsi="Calibri"/>
                <w:b/>
                <w:bCs/>
                <w:u w:val="single"/>
              </w:rPr>
              <w:t>28.7.2016</w:t>
            </w:r>
            <w:r>
              <w:rPr>
                <w:rFonts w:eastAsia="Times New Roman" w:cs="Calibri" w:ascii="Calibri" w:hAnsi="Calibri"/>
                <w:b/>
                <w:bCs/>
                <w:u w:val="single"/>
                <w:rtl w:val="true"/>
              </w:rPr>
              <w:t xml:space="preserve">, </w:t>
            </w:r>
            <w:r>
              <w:rPr>
                <w:rFonts w:ascii="Calibri" w:hAnsi="Calibri" w:eastAsia="Times New Roman" w:cs="Calibri"/>
                <w:b/>
                <w:b/>
                <w:bCs/>
                <w:u w:val="single"/>
                <w:rtl w:val="true"/>
              </w:rPr>
              <w:t>במעמד</w:t>
            </w:r>
            <w:r>
              <w:rPr>
                <w:rFonts w:ascii="Calibri" w:hAnsi="Calibri" w:eastAsia="Times New Roman" w:cs="Calibri"/>
                <w:b/>
                <w:b/>
                <w:bCs/>
                <w:u w:val="single"/>
                <w:rtl w:val="true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b/>
                <w:bCs/>
                <w:u w:val="single"/>
                <w:rtl w:val="true"/>
              </w:rPr>
              <w:t>הנוכחים</w:t>
            </w:r>
            <w:r>
              <w:rPr>
                <w:rFonts w:eastAsia="Times New Roman" w:cs="Calibri" w:ascii="Calibri" w:hAnsi="Calibri"/>
                <w:b/>
                <w:bCs/>
                <w:u w:val="single"/>
                <w:rtl w:val="true"/>
              </w:rPr>
              <w:t xml:space="preserve">. 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רות לורך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סגנית נשיא </w:t>
            </w:r>
          </w:p>
        </w:tc>
      </w:tr>
    </w:tbl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רות לורך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  <w:r>
        <w:rPr>
          <w:rtl w:val="true"/>
        </w:rPr>
        <w:t xml:space="preserve">            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189-01-16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וסאם זידאן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567" w:hanging="567"/>
      </w:pPr>
      <w:rPr>
        <w:b w:val="false"/>
        <w:bCs w:val="false"/>
        <w:rFonts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b w:val="false"/>
        <w:bCs w:val="false"/>
        <w:rFonts w:cs="David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David"/>
      <w:b w:val="false"/>
      <w:bCs w:val="false"/>
    </w:rPr>
  </w:style>
  <w:style w:type="character" w:styleId="WW8Num1z1">
    <w:name w:val="WW8Num1z1"/>
    <w:qFormat/>
    <w:rPr>
      <w:rFonts w:cs="David"/>
      <w:b w:val="false"/>
      <w:bCs w:val="false"/>
    </w:rPr>
  </w:style>
  <w:style w:type="character" w:styleId="WW8Num1z2">
    <w:name w:val="WW8Num1z2"/>
    <w:qFormat/>
    <w:rPr>
      <w:rFonts w:cs="Times New Roman"/>
    </w:rPr>
  </w:style>
  <w:style w:type="character" w:styleId="WW8Num6z0">
    <w:name w:val="WW8Num6z0"/>
    <w:qFormat/>
    <w:rPr/>
  </w:style>
  <w:style w:type="character" w:styleId="WW8Num8z0">
    <w:name w:val="WW8Num8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eastAsia="Times New Roman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4216/19a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case/7797375" TargetMode="External"/><Relationship Id="rId17" Type="http://schemas.openxmlformats.org/officeDocument/2006/relationships/hyperlink" Target="http://www.nevo.co.il/case/4824278" TargetMode="External"/><Relationship Id="rId18" Type="http://schemas.openxmlformats.org/officeDocument/2006/relationships/hyperlink" Target="http://www.nevo.co.il/case/13093744" TargetMode="External"/><Relationship Id="rId19" Type="http://schemas.openxmlformats.org/officeDocument/2006/relationships/hyperlink" Target="http://www.nevo.co.il/case/17954222" TargetMode="External"/><Relationship Id="rId20" Type="http://schemas.openxmlformats.org/officeDocument/2006/relationships/hyperlink" Target="http://www.nevo.co.il/case/20745111" TargetMode="External"/><Relationship Id="rId21" Type="http://schemas.openxmlformats.org/officeDocument/2006/relationships/hyperlink" Target="http://www.nevo.co.il/case/17024286" TargetMode="External"/><Relationship Id="rId22" Type="http://schemas.openxmlformats.org/officeDocument/2006/relationships/hyperlink" Target="http://www.nevo.co.il/case/7791493" TargetMode="External"/><Relationship Id="rId23" Type="http://schemas.openxmlformats.org/officeDocument/2006/relationships/hyperlink" Target="http://www.nevo.co.il/case/18706461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2016-12-01T15:18:00Z</dcterms:created>
  <dc:creator> </dc:creator>
  <dc:description/>
  <cp:keywords/>
  <dc:language>en-IL</dc:language>
  <cp:lastModifiedBy>yafit</cp:lastModifiedBy>
  <dcterms:modified xsi:type="dcterms:W3CDTF">2016-12-01T15:18:00Z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וסאם זידאן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7797375;4824278;13093744;17954222;20745111;17024286;7791493;18706461</vt:lpwstr>
  </property>
  <property fmtid="{D5CDD505-2E9C-101B-9397-08002B2CF9AE}" pid="9" name="CITY">
    <vt:lpwstr>מרכז</vt:lpwstr>
  </property>
  <property fmtid="{D5CDD505-2E9C-101B-9397-08002B2CF9AE}" pid="10" name="DATE">
    <vt:lpwstr>20160728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רות לורך</vt:lpwstr>
  </property>
  <property fmtid="{D5CDD505-2E9C-101B-9397-08002B2CF9AE}" pid="14" name="LAWLISTTMP1">
    <vt:lpwstr>4216/013;019a</vt:lpwstr>
  </property>
  <property fmtid="{D5CDD505-2E9C-101B-9397-08002B2CF9AE}" pid="15" name="LAWLISTTMP2">
    <vt:lpwstr>70301/499.a.1;144.a;144.b</vt:lpwstr>
  </property>
  <property fmtid="{D5CDD505-2E9C-101B-9397-08002B2CF9AE}" pid="16" name="LAWYER">
    <vt:lpwstr>יעל בן שמואל;יוסף שלבי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189</vt:lpwstr>
  </property>
  <property fmtid="{D5CDD505-2E9C-101B-9397-08002B2CF9AE}" pid="23" name="NEWPARTB">
    <vt:lpwstr>01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390020160728</vt:lpwstr>
  </property>
  <property fmtid="{D5CDD505-2E9C-101B-9397-08002B2CF9AE}" pid="35" name="TYPE_N_DATE">
    <vt:lpwstr>39020160728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