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97"/>
        <w:gridCol w:w="463"/>
        <w:gridCol w:w="980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9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1890-08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אסדי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497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: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ויסאם אסדי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דוידוביץ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הסניגור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אסדי מועמר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rtl w:val="true"/>
        </w:rPr>
        <w:t>הסניגור הודה בשם ה</w:t>
      </w:r>
      <w:r>
        <w:rPr>
          <w:rtl w:val="true"/>
        </w:rPr>
        <w:t>נאשם</w:t>
      </w:r>
      <w:r>
        <w:rPr>
          <w:rtl w:val="true"/>
        </w:rPr>
        <w:t xml:space="preserve">  בכל העובדות </w:t>
      </w:r>
      <w:r>
        <w:rPr>
          <w:rtl w:val="true"/>
        </w:rPr>
        <w:t>הנטענות</w:t>
      </w:r>
      <w:r>
        <w:rPr>
          <w:rtl w:val="true"/>
        </w:rPr>
        <w:t xml:space="preserve">  </w:t>
      </w:r>
      <w:r>
        <w:rPr>
          <w:rtl w:val="true"/>
        </w:rPr>
        <w:t>בכתב</w:t>
      </w:r>
      <w:r>
        <w:rPr>
          <w:rtl w:val="true"/>
        </w:rPr>
        <w:t xml:space="preserve"> האישום</w:t>
      </w:r>
      <w:r>
        <w:rPr>
          <w:rtl w:val="true"/>
        </w:rPr>
        <w:t xml:space="preserve"> המתוקן</w:t>
      </w:r>
      <w:r>
        <w:rPr>
          <w:rtl w:val="true"/>
        </w:rPr>
        <w:t xml:space="preserve">. </w:t>
      </w:r>
      <w:r>
        <w:rPr>
          <w:rtl w:val="true"/>
        </w:rPr>
        <w:t xml:space="preserve">כן ביקש לצרף את </w:t>
      </w:r>
      <w:hyperlink r:id="rId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8835-10-08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שגם בו</w:t>
        </w:r>
      </w:hyperlink>
      <w:r>
        <w:rPr>
          <w:rtl w:val="true"/>
        </w:rPr>
        <w:t xml:space="preserve"> הודה בשם הנאשם</w:t>
      </w:r>
      <w:r>
        <w:rPr>
          <w:rtl w:val="true"/>
        </w:rPr>
        <w:t xml:space="preserve">. </w:t>
      </w:r>
      <w:r>
        <w:rPr>
          <w:rtl w:val="true"/>
        </w:rPr>
        <w:t>לכן אני מ</w:t>
      </w:r>
      <w:r>
        <w:rPr>
          <w:rtl w:val="true"/>
        </w:rPr>
        <w:t xml:space="preserve">רשיע </w:t>
      </w:r>
      <w:r>
        <w:rPr>
          <w:rtl w:val="true"/>
        </w:rPr>
        <w:t>את</w:t>
      </w:r>
      <w:r>
        <w:rPr>
          <w:rtl w:val="true"/>
        </w:rPr>
        <w:t xml:space="preserve"> הנאשם</w:t>
      </w:r>
      <w:r>
        <w:rPr>
          <w:rtl w:val="true"/>
        </w:rPr>
        <w:t xml:space="preserve"> בעבירות המ</w:t>
      </w:r>
      <w:r>
        <w:rPr>
          <w:rtl w:val="true"/>
        </w:rPr>
        <w:t xml:space="preserve">יוחסות לו </w:t>
      </w:r>
      <w:r>
        <w:rPr>
          <w:rtl w:val="true"/>
        </w:rPr>
        <w:t>ב</w:t>
      </w:r>
      <w:r>
        <w:rPr>
          <w:rtl w:val="true"/>
        </w:rPr>
        <w:t xml:space="preserve">שני </w:t>
      </w:r>
      <w:r>
        <w:rPr>
          <w:rtl w:val="true"/>
        </w:rPr>
        <w:t>כתב</w:t>
      </w:r>
      <w:r>
        <w:rPr>
          <w:rtl w:val="true"/>
        </w:rPr>
        <w:t>י</w:t>
      </w:r>
      <w:r>
        <w:rPr>
          <w:rtl w:val="true"/>
        </w:rPr>
        <w:t xml:space="preserve"> האישום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 אדר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24/03/2009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אלטר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overflowPunct w:val="false"/>
        <w:autoSpaceDE w:val="false"/>
        <w:spacing w:lineRule="auto" w:line="360"/>
        <w:ind w:end="0"/>
        <w:jc w:val="center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שמיעת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המאשימה וה</w:t>
      </w:r>
      <w:r>
        <w:rPr>
          <w:rtl w:val="true"/>
        </w:rPr>
        <w:t>סניגור</w:t>
      </w:r>
      <w:r>
        <w:rPr>
          <w:rtl w:val="true"/>
        </w:rPr>
        <w:t xml:space="preserve">, </w:t>
      </w:r>
      <w:r>
        <w:rPr>
          <w:rtl w:val="true"/>
        </w:rPr>
        <w:t>ובהתחשב בהודאת</w:t>
      </w:r>
      <w:r>
        <w:rPr>
          <w:rtl w:val="true"/>
        </w:rPr>
        <w:t xml:space="preserve"> 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tl w:val="true"/>
        </w:rPr>
        <w:t xml:space="preserve"> הנקי</w:t>
      </w:r>
      <w:r>
        <w:rPr>
          <w:rtl w:val="true"/>
        </w:rPr>
        <w:t xml:space="preserve">, </w:t>
      </w:r>
      <w:r>
        <w:rPr>
          <w:rtl w:val="true"/>
        </w:rPr>
        <w:t xml:space="preserve">מהות העבירות </w:t>
      </w:r>
      <w:r>
        <w:rPr>
          <w:rtl w:val="true"/>
        </w:rPr>
        <w:t>בהן הורשע בשני התיקים ו</w:t>
      </w:r>
      <w:r>
        <w:rPr>
          <w:rtl w:val="true"/>
        </w:rPr>
        <w:t xml:space="preserve">נסיבות </w:t>
      </w:r>
      <w:r>
        <w:rPr>
          <w:rtl w:val="true"/>
        </w:rPr>
        <w:t>ביצוען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הצורך להגן על עובדי ציבור בכלל ושוטרים בפרט הממלאים תפקידם כחוק</w:t>
      </w:r>
      <w:r>
        <w:rPr>
          <w:rtl w:val="true"/>
        </w:rPr>
        <w:t xml:space="preserve">, </w:t>
      </w:r>
      <w:r>
        <w:rPr>
          <w:rtl w:val="true"/>
        </w:rPr>
        <w:t>מפני אנשים כמו הנאשם שבפניי</w:t>
      </w:r>
      <w:r>
        <w:rPr>
          <w:rtl w:val="true"/>
        </w:rPr>
        <w:t xml:space="preserve">, </w:t>
      </w:r>
      <w:r>
        <w:rPr>
          <w:rtl w:val="true"/>
        </w:rPr>
        <w:t xml:space="preserve">הסדר הטיעון אותו אני מאשר 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tl w:val="true"/>
        </w:rPr>
        <w:t xml:space="preserve"> שאר הנסיבות מוטל על הנאשם עונש כדלקמן</w:t>
      </w:r>
      <w:r>
        <w:rPr>
          <w:rtl w:val="true"/>
        </w:rPr>
        <w:t>:-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  <w:t>*</w:t>
        <w:tab/>
      </w:r>
      <w:r>
        <w:rPr>
          <w:rtl w:val="true"/>
        </w:rPr>
        <w:t>קנס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 מאסר תמורתו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start"/>
        <w:rPr/>
      </w:pPr>
      <w:r>
        <w:rPr>
          <w:rtl w:val="true"/>
        </w:rPr>
        <w:t>הקנס</w:t>
      </w:r>
      <w:r>
        <w:rPr>
          <w:rtl w:val="true"/>
        </w:rPr>
        <w:t xml:space="preserve"> ישולם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של </w:t>
      </w:r>
      <w:r>
        <w:rPr/>
        <w:t>300</w:t>
      </w:r>
      <w:r>
        <w:rPr>
          <w:rtl w:val="true"/>
        </w:rPr>
        <w:t xml:space="preserve"> ₪ </w:t>
      </w:r>
      <w:r>
        <w:rPr>
          <w:rtl w:val="true"/>
        </w:rPr>
        <w:t>כל אחד</w:t>
      </w:r>
      <w:r>
        <w:rPr>
          <w:rtl w:val="true"/>
        </w:rPr>
        <w:t xml:space="preserve">, </w:t>
      </w:r>
      <w:r>
        <w:rPr>
          <w:rtl w:val="true"/>
        </w:rPr>
        <w:t xml:space="preserve">בכל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tl w:val="true"/>
        </w:rPr>
        <w:t xml:space="preserve">, </w:t>
      </w:r>
      <w:r>
        <w:rPr>
          <w:rtl w:val="true"/>
        </w:rPr>
        <w:t>החל מ</w:t>
      </w:r>
      <w:r>
        <w:rPr>
          <w:rtl w:val="true"/>
        </w:rPr>
        <w:t xml:space="preserve">- </w:t>
      </w:r>
      <w:r>
        <w:rPr/>
        <w:t>15/4/09</w:t>
      </w:r>
      <w:r>
        <w:rPr>
          <w:rtl w:val="true"/>
        </w:rPr>
        <w:t xml:space="preserve">. </w:t>
      </w:r>
      <w:r>
        <w:rPr>
          <w:rtl w:val="true"/>
        </w:rPr>
        <w:t>אי עמידה במועד של תשלום אחד תעמיד את כל היתרה לתשלום מיידי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start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  <w:t>*</w:t>
        <w:tab/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תנאי לתקופה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והתנאי הוא כי הנאשם לא יעבור בתקופה זו עבירה</w:t>
      </w:r>
      <w:r>
        <w:rPr>
          <w:rtl w:val="true"/>
        </w:rPr>
        <w:t xml:space="preserve"> לפי סעיף </w:t>
      </w:r>
      <w:r>
        <w:rPr/>
        <w:t>273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 xml:space="preserve">או לפי סעיף </w:t>
      </w:r>
      <w:r>
        <w:rPr/>
        <w:t>381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ויורשע עליה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  <w:t>*</w:t>
        <w:tab/>
      </w:r>
      <w:r>
        <w:rPr>
          <w:rtl w:val="true"/>
        </w:rPr>
        <w:t>ה</w:t>
      </w:r>
      <w:r>
        <w:rPr>
          <w:rtl w:val="true"/>
        </w:rPr>
        <w:t>וסבר</w:t>
      </w:r>
      <w:r>
        <w:rPr>
          <w:rtl w:val="true"/>
        </w:rPr>
        <w:t xml:space="preserve"> כי לצדדים 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 אדר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24/03/2009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משה אלטר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אלטר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  <w:t>הוקלד על ידי</w:t>
      </w:r>
      <w:r>
        <w:rPr>
          <w:rtl w:val="true"/>
        </w:rPr>
        <w:t xml:space="preserve">: </w:t>
      </w:r>
      <w:r>
        <w:rPr>
          <w:rtl w:val="true"/>
        </w:rPr>
        <w:t>ענת ויצמן</w:t>
      </w:r>
      <w:r>
        <w:rPr>
          <w:rtl w:val="true"/>
        </w:rPr>
        <w:t>-</w:t>
      </w:r>
      <w:r>
        <w:rPr>
          <w:rtl w:val="true"/>
        </w:rPr>
        <w:t>אמזלג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רונית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דיגורקר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/Users/liorb/Downloads/study2025-p2/SH-08-1890-A.doc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1890-08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גליל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ויסאם אסדי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890-08"/>
    <w:docVar w:name="caseId" w:val="3065761"/>
    <w:docVar w:name="deriveClass" w:val="NGCS.Protocol.BL.Client.ProtocolBLClientCriminal"/>
    <w:docVar w:name="firstPageNumber" w:val="6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286826"/>
    <w:docVar w:name="releaseSign" w:val="0"/>
    <w:docVar w:name="sittingDateTime" w:val="24/03/2009 12:30     "/>
    <w:docVar w:name="sittingId" w:val="12413396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jc w:val="center"/>
      <w:outlineLvl w:val="9"/>
    </w:pPr>
    <w:rPr>
      <w:rFonts w:ascii="Arial" w:hAnsi="Arial" w:eastAsia="Times New Roman" w:cs="Arial"/>
      <w:bCs w:val="false"/>
      <w:i w:val="false"/>
      <w:iCs w:val="false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NEWPROC=&#1514;&#1508;&amp;NEWPARTA=5-10-08&amp;NEWPARTB=10&amp;NEWPARTC=8835-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2009-03-25T02:09:00Z</dcterms:created>
  <dc:creator> </dc:creator>
  <dc:description/>
  <cp:keywords/>
  <dc:language>en-IL</dc:language>
  <cp:lastModifiedBy>hofit</cp:lastModifiedBy>
  <cp:lastPrinted>2009-03-24T12:38:00Z</cp:lastPrinted>
  <dcterms:modified xsi:type="dcterms:W3CDTF">2009-03-25T11:42:00Z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גליל-משטרת ישראל</vt:lpwstr>
  </property>
  <property fmtid="{D5CDD505-2E9C-101B-9397-08002B2CF9AE}" pid="3" name="APPELLEE">
    <vt:lpwstr>ויסאם אסדי</vt:lpwstr>
  </property>
  <property fmtid="{D5CDD505-2E9C-101B-9397-08002B2CF9AE}" pid="4" name="CITY">
    <vt:lpwstr>עכו</vt:lpwstr>
  </property>
  <property fmtid="{D5CDD505-2E9C-101B-9397-08002B2CF9AE}" pid="5" name="DATE">
    <vt:lpwstr>20090324</vt:lpwstr>
  </property>
  <property fmtid="{D5CDD505-2E9C-101B-9397-08002B2CF9AE}" pid="6" name="DELEMATA">
    <vt:lpwstr/>
  </property>
  <property fmtid="{D5CDD505-2E9C-101B-9397-08002B2CF9AE}" pid="7" name="JUDGE">
    <vt:lpwstr>משה אלטר</vt:lpwstr>
  </property>
  <property fmtid="{D5CDD505-2E9C-101B-9397-08002B2CF9AE}" pid="8" name="LAWYER">
    <vt:lpwstr>דוידוביץ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1890</vt:lpwstr>
  </property>
  <property fmtid="{D5CDD505-2E9C-101B-9397-08002B2CF9AE}" pid="22" name="NEWPARTB">
    <vt:lpwstr/>
  </property>
  <property fmtid="{D5CDD505-2E9C-101B-9397-08002B2CF9AE}" pid="23" name="NEWPARTC">
    <vt:lpwstr>08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1890</vt:lpwstr>
  </property>
  <property fmtid="{D5CDD505-2E9C-101B-9397-08002B2CF9AE}" pid="30" name="PROCYEAR">
    <vt:lpwstr>08</vt:lpwstr>
  </property>
  <property fmtid="{D5CDD505-2E9C-101B-9397-08002B2CF9AE}" pid="31" name="PSAKDIN">
    <vt:lpwstr>הכרעת-דין</vt:lpwstr>
  </property>
  <property fmtid="{D5CDD505-2E9C-101B-9397-08002B2CF9AE}" pid="32" name="TYPE">
    <vt:lpwstr>3</vt:lpwstr>
  </property>
  <property fmtid="{D5CDD505-2E9C-101B-9397-08002B2CF9AE}" pid="33" name="TYPE_ABS_DATE">
    <vt:lpwstr>380020090324</vt:lpwstr>
  </property>
  <property fmtid="{D5CDD505-2E9C-101B-9397-08002B2CF9AE}" pid="34" name="TYPE_N_DATE">
    <vt:lpwstr>38020090324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