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19007-05-09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אברהים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שופט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עמי קובו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אלסח אברהים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אופיר פחימה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שוקרי אבו טביק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 xml:space="preserve">בעצמו </w:t>
      </w:r>
    </w:p>
    <w:p>
      <w:pPr>
        <w:pStyle w:val="Normal"/>
        <w:spacing w:lineRule="auto" w:line="360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רקע</w:t>
      </w:r>
    </w:p>
    <w:p>
      <w:pPr>
        <w:pStyle w:val="Style15"/>
        <w:numPr>
          <w:ilvl w:val="0"/>
          <w:numId w:val="1"/>
        </w:numPr>
        <w:ind w:hanging="360" w:start="360" w:end="0"/>
        <w:jc w:val="both"/>
        <w:rPr/>
      </w:pPr>
      <w:bookmarkStart w:id="6" w:name="ABSTRACT_START"/>
      <w:bookmarkEnd w:id="6"/>
      <w:r>
        <w:rPr>
          <w:rtl w:val="true"/>
        </w:rPr>
        <w:t>הנאשם הורשע בהתאם להודאתו בעובדות כתב האישום בעבירת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על 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 העונשין</w:t>
      </w:r>
      <w:r>
        <w:rPr>
          <w:rtl w:val="true"/>
        </w:rPr>
        <w:t xml:space="preserve">") </w:t>
      </w:r>
      <w:r>
        <w:rPr>
          <w:rtl w:val="true"/>
        </w:rPr>
        <w:t>ובעבירה של החזקת סם מסוכן לצריכה עצמית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7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21.5.09</w:t>
      </w:r>
      <w:r>
        <w:rPr>
          <w:rtl w:val="true"/>
        </w:rPr>
        <w:t xml:space="preserve"> </w:t>
      </w:r>
      <w:r>
        <w:rPr>
          <w:rtl w:val="true"/>
        </w:rPr>
        <w:t>החזיק הנאשם בביתו שבלוד רובה אויר</w:t>
      </w:r>
      <w:r>
        <w:rPr>
          <w:rtl w:val="true"/>
        </w:rPr>
        <w:t xml:space="preserve">. </w:t>
      </w:r>
      <w:r>
        <w:rPr>
          <w:rtl w:val="true"/>
        </w:rPr>
        <w:t>בנוסף לאמור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החזיק הנאשם בביתו </w:t>
      </w:r>
      <w:r>
        <w:rPr/>
        <w:t>0.1636</w:t>
      </w:r>
      <w:r>
        <w:rPr>
          <w:rtl w:val="true"/>
        </w:rPr>
        <w:t xml:space="preserve"> </w:t>
      </w:r>
      <w:r>
        <w:rPr>
          <w:rtl w:val="true"/>
        </w:rPr>
        <w:t>גרם של סם מסוכן מסוג הרואין ארוז בתוך שקית</w:t>
      </w:r>
      <w:r>
        <w:rPr>
          <w:rtl w:val="true"/>
        </w:rPr>
        <w:t>.</w:t>
      </w:r>
    </w:p>
    <w:p>
      <w:pPr>
        <w:pStyle w:val="Style15"/>
        <w:numPr>
          <w:ilvl w:val="0"/>
          <w:numId w:val="1"/>
        </w:numPr>
        <w:ind w:hanging="360" w:start="360" w:end="0"/>
        <w:jc w:val="both"/>
        <w:rPr/>
      </w:pPr>
      <w:bookmarkStart w:id="7" w:name="ABSTRACT_END"/>
      <w:bookmarkEnd w:id="7"/>
      <w:r>
        <w:rPr>
          <w:rtl w:val="true"/>
        </w:rPr>
        <w:t>בין הצדדים לא הייתה הסכמה לעניין העונש</w:t>
      </w:r>
      <w:r>
        <w:rPr>
          <w:rtl w:val="true"/>
        </w:rPr>
        <w:t xml:space="preserve">. </w:t>
      </w:r>
      <w:r>
        <w:rPr>
          <w:rtl w:val="true"/>
        </w:rPr>
        <w:t>הנאשם נשלח לקבלת תסקיר מבחן 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תסקיר שירות המבחן</w:t>
      </w:r>
    </w:p>
    <w:p>
      <w:pPr>
        <w:pStyle w:val="Style15"/>
        <w:numPr>
          <w:ilvl w:val="0"/>
          <w:numId w:val="1"/>
        </w:numPr>
        <w:ind w:hanging="360" w:start="360" w:end="0"/>
        <w:jc w:val="both"/>
        <w:rPr/>
      </w:pPr>
      <w:r>
        <w:rPr>
          <w:rtl w:val="true"/>
        </w:rPr>
        <w:t>שירות המבחן התרשם כי הנאשם נוטל אחריות לביצוע העבירה</w:t>
      </w:r>
      <w:r>
        <w:rPr>
          <w:rtl w:val="true"/>
        </w:rPr>
        <w:t xml:space="preserve">, </w:t>
      </w:r>
      <w:r>
        <w:rPr>
          <w:rtl w:val="true"/>
        </w:rPr>
        <w:t>מבין את חומרתה ומביע חרטה</w:t>
      </w:r>
      <w:r>
        <w:rPr>
          <w:rtl w:val="true"/>
        </w:rPr>
        <w:t xml:space="preserve">. </w:t>
      </w:r>
      <w:r>
        <w:rPr>
          <w:rtl w:val="true"/>
        </w:rPr>
        <w:t>עוד התרשם שירות המבחן כי הנאשם נעדר דפוסים התמכרותיים לסמים וכי הנאשם בעל כוחות לשקם את מצבו</w:t>
      </w:r>
      <w:r>
        <w:rPr>
          <w:rtl w:val="true"/>
        </w:rPr>
        <w:t xml:space="preserve">. </w:t>
      </w:r>
      <w:r>
        <w:rPr>
          <w:rtl w:val="true"/>
        </w:rPr>
        <w:t>המלצת שירות המבחן הינה להטיל על הנאשם עונש חינוכי קונקרטי של של</w:t>
      </w:r>
      <w:r>
        <w:rPr>
          <w:rtl w:val="true"/>
        </w:rPr>
        <w:t>"</w:t>
      </w:r>
      <w:r>
        <w:rPr>
          <w:rtl w:val="true"/>
        </w:rPr>
        <w:t>צ אשר ירתיע את הנאשם ויצמצם הסיכון להישנות העבירה 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טיעוני הצדדים</w:t>
      </w:r>
    </w:p>
    <w:p>
      <w:pPr>
        <w:pStyle w:val="Style15"/>
        <w:numPr>
          <w:ilvl w:val="0"/>
          <w:numId w:val="1"/>
        </w:numPr>
        <w:ind w:hanging="360" w:start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טענה כי הנאשם הודה בהחזקת הנשק והסם</w:t>
      </w:r>
      <w:r>
        <w:rPr>
          <w:rtl w:val="true"/>
        </w:rPr>
        <w:t xml:space="preserve">. </w:t>
      </w:r>
      <w:r>
        <w:rPr>
          <w:rtl w:val="true"/>
        </w:rPr>
        <w:t>הנשק נמצא מוסתר בארון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טענה כי העובדה שהנשק נמצא כאשר הוא מוסתר מעידה על כך שהנאשם ידע שהחזקת הנשק אסורה</w:t>
      </w:r>
      <w:r>
        <w:rPr>
          <w:rtl w:val="true"/>
        </w:rPr>
        <w:t xml:space="preserve">. </w:t>
      </w:r>
      <w:r>
        <w:rPr>
          <w:rtl w:val="true"/>
        </w:rPr>
        <w:t>כן טענה כי אין רלוונטיות לשאלה האם הנשק תקין</w:t>
      </w:r>
      <w:r>
        <w:rPr>
          <w:rtl w:val="true"/>
        </w:rPr>
        <w:t xml:space="preserve">. </w:t>
      </w:r>
      <w:r>
        <w:rPr>
          <w:rtl w:val="true"/>
        </w:rPr>
        <w:t>עוד טענה כי אמנם תפעולו של רובה אוויר אינו על בסיס חומר נפץ אלא על בסיס אוויר אבל יש בכך כדי להמית או לפגוע</w:t>
      </w:r>
      <w:r>
        <w:rPr>
          <w:rtl w:val="true"/>
        </w:rPr>
        <w:t xml:space="preserve">. </w:t>
      </w:r>
      <w:r>
        <w:rPr>
          <w:rtl w:val="true"/>
        </w:rPr>
        <w:t>כן טענה ב</w:t>
      </w:r>
      <w:r>
        <w:rPr>
          <w:rtl w:val="true"/>
        </w:rPr>
        <w:t>"</w:t>
      </w:r>
      <w:r>
        <w:rPr>
          <w:rtl w:val="true"/>
        </w:rPr>
        <w:t>כ המאשימה כי אין לקבל את המלצת שירות המבחן שכן הוא לא בא בהמלצה בעניין השימוש בסמים</w:t>
      </w:r>
      <w:r>
        <w:rPr>
          <w:rtl w:val="true"/>
        </w:rPr>
        <w:t xml:space="preserve">. </w:t>
      </w:r>
      <w:r>
        <w:rPr>
          <w:rtl w:val="true"/>
        </w:rPr>
        <w:t>עוד טענה המאשימה כי חומרה נוספת קיימת בעבירות החזקת סם מסוכן מסוג הרואין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1"/>
        </w:numPr>
        <w:ind w:hanging="360" w:start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עתרה לעונש של עבודות שירות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>.</w:t>
      </w:r>
    </w:p>
    <w:p>
      <w:pPr>
        <w:pStyle w:val="Style15"/>
        <w:numPr>
          <w:ilvl w:val="0"/>
          <w:numId w:val="1"/>
        </w:numPr>
        <w:ind w:hanging="360" w:start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טען כי הנאשם נעדר כל עבר פלילי</w:t>
      </w:r>
      <w:r>
        <w:rPr>
          <w:rtl w:val="true"/>
        </w:rPr>
        <w:t xml:space="preserve">, </w:t>
      </w:r>
      <w:r>
        <w:rPr>
          <w:rtl w:val="true"/>
        </w:rPr>
        <w:t>לקח אחריות על מעשיו והביע חרטה</w:t>
      </w:r>
      <w:r>
        <w:rPr>
          <w:rtl w:val="true"/>
        </w:rPr>
        <w:t xml:space="preserve">. </w:t>
      </w:r>
      <w:r>
        <w:rPr>
          <w:rtl w:val="true"/>
        </w:rPr>
        <w:t>כן ביקש לאמץ את המלצת שירות המבחן ולהסתפק בעונש של של</w:t>
      </w:r>
      <w:r>
        <w:rPr>
          <w:rtl w:val="true"/>
        </w:rPr>
        <w:t>"</w:t>
      </w:r>
      <w:r>
        <w:rPr>
          <w:rtl w:val="true"/>
        </w:rPr>
        <w:t>צ ומאסר על תנאי</w:t>
      </w:r>
      <w:r>
        <w:rPr>
          <w:rtl w:val="true"/>
        </w:rPr>
        <w:t xml:space="preserve">. </w:t>
      </w:r>
      <w:r>
        <w:rPr>
          <w:rtl w:val="true"/>
        </w:rPr>
        <w:t>עוד טען שעונש של עבודות שירות יכביד על הנאשם ויפגע בעבודתו שכן הנאשם הינו מפרנס יחיד למשפחתו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1"/>
        </w:numPr>
        <w:ind w:hanging="360" w:start="360" w:end="0"/>
        <w:jc w:val="both"/>
        <w:rPr/>
      </w:pPr>
      <w:r>
        <w:rPr>
          <w:rtl w:val="true"/>
        </w:rPr>
        <w:t>הנאשם הביע חרטה וצער על מעשיו</w:t>
      </w:r>
      <w:r>
        <w:rPr>
          <w:rtl w:val="true"/>
        </w:rPr>
        <w:t xml:space="preserve">, </w:t>
      </w:r>
      <w:r>
        <w:rPr>
          <w:rtl w:val="true"/>
        </w:rPr>
        <w:t>והביע חשש שעונש של עבודות שירות יפגע בפרנסתו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דיון</w:t>
      </w:r>
    </w:p>
    <w:p>
      <w:pPr>
        <w:pStyle w:val="Style15"/>
        <w:numPr>
          <w:ilvl w:val="0"/>
          <w:numId w:val="1"/>
        </w:numPr>
        <w:ind w:hanging="360" w:start="360" w:end="0"/>
        <w:jc w:val="both"/>
        <w:rPr/>
      </w:pPr>
      <w:r>
        <w:rPr>
          <w:rtl w:val="true"/>
        </w:rPr>
        <w:t>הנאשם הורשע בהתאם להודאתו בעבירות של החזקת נשק והחזקת סם מסוכן לצריכה עצמית</w:t>
      </w:r>
      <w:r>
        <w:rPr>
          <w:rtl w:val="true"/>
        </w:rPr>
        <w:t>.</w:t>
      </w:r>
    </w:p>
    <w:p>
      <w:pPr>
        <w:pStyle w:val="Style15"/>
        <w:numPr>
          <w:ilvl w:val="0"/>
          <w:numId w:val="1"/>
        </w:numPr>
        <w:ind w:hanging="360" w:start="360" w:end="0"/>
        <w:jc w:val="both"/>
        <w:rPr/>
      </w:pPr>
      <w:r>
        <w:rPr>
          <w:rtl w:val="true"/>
        </w:rPr>
        <w:t xml:space="preserve">מדיניות הענישה המקובלת בגין עבירות של החזקת נשק הינה ככלל לעונשי מאסר בפועל מאחורי סורג ובריח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אבו דאחל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2006</w:t>
      </w:r>
      <w:r>
        <w:rPr>
          <w:rFonts w:cs="Times New Roman" w:ascii="Times New Roman" w:hAnsi="Times New Roman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החזיק הנאשם בנשק מסוג רובה אויר</w:t>
      </w:r>
      <w:r>
        <w:rPr>
          <w:rtl w:val="true"/>
        </w:rPr>
        <w:t xml:space="preserve">. </w:t>
      </w:r>
      <w:r>
        <w:rPr>
          <w:rtl w:val="true"/>
        </w:rPr>
        <w:t>סבורני שהחומרה שבהחזקת רובה אויר נמוכה מהחזקת נשק אחר</w:t>
      </w:r>
      <w:r>
        <w:rPr>
          <w:rtl w:val="true"/>
        </w:rPr>
        <w:t xml:space="preserve">, </w:t>
      </w:r>
      <w:r>
        <w:rPr>
          <w:rtl w:val="true"/>
        </w:rPr>
        <w:t>ואולם לא ניתן להתעלם מכך שרובה אויר הינו בגדר נשק שיש בו כדי לפגוע ולסכן חיי אדם</w:t>
      </w:r>
      <w:r>
        <w:rPr>
          <w:rtl w:val="true"/>
        </w:rPr>
        <w:t>.</w:t>
      </w:r>
    </w:p>
    <w:p>
      <w:pPr>
        <w:pStyle w:val="Style15"/>
        <w:numPr>
          <w:ilvl w:val="0"/>
          <w:numId w:val="1"/>
        </w:numPr>
        <w:ind w:hanging="360" w:start="360" w:end="0"/>
        <w:jc w:val="both"/>
        <w:rPr/>
      </w:pPr>
      <w:r>
        <w:rPr>
          <w:rtl w:val="true"/>
        </w:rPr>
        <w:t xml:space="preserve">כן אציין כי להחזקת הנשק נלוותה עבירה של החזקת סם מסוג הירואין במשקל של </w:t>
      </w:r>
      <w:r>
        <w:rPr/>
        <w:t>0.1636</w:t>
      </w:r>
      <w:r>
        <w:rPr>
          <w:rtl w:val="true"/>
        </w:rPr>
        <w:t xml:space="preserve"> </w:t>
      </w:r>
      <w:r>
        <w:rPr>
          <w:rtl w:val="true"/>
        </w:rPr>
        <w:t>גרם לצריכה עצמית</w:t>
      </w:r>
      <w:r>
        <w:rPr>
          <w:rtl w:val="true"/>
        </w:rPr>
        <w:t xml:space="preserve">. </w:t>
      </w:r>
      <w:r>
        <w:rPr>
          <w:rtl w:val="true"/>
        </w:rPr>
        <w:t>בעניין זה אין צורך להכביר מילים אודות החומרה שבעבירה של החזקת סם מסוכן מסוג הרואין</w:t>
      </w:r>
      <w:r>
        <w:rPr>
          <w:rtl w:val="true"/>
        </w:rPr>
        <w:t xml:space="preserve">, </w:t>
      </w:r>
      <w:r>
        <w:rPr>
          <w:rtl w:val="true"/>
        </w:rPr>
        <w:t>וזאת על אף שהכמות שנתפסה אינה רבה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קיימת חומרה הנוגעת לשילוב שבין עבירות נשק לעבירות סמים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1"/>
        </w:numPr>
        <w:ind w:hanging="360" w:start="360" w:end="0"/>
        <w:jc w:val="both"/>
        <w:rPr/>
      </w:pPr>
      <w:r>
        <w:rPr>
          <w:rtl w:val="true"/>
        </w:rPr>
        <w:t>במסגרת השיקולים לקולא יש לקחת בחשבון את העובדה שהנאשם נעדר כל עבר פלילי קודם</w:t>
      </w:r>
      <w:r>
        <w:rPr>
          <w:rtl w:val="true"/>
        </w:rPr>
        <w:t xml:space="preserve">, </w:t>
      </w:r>
      <w:r>
        <w:rPr>
          <w:rtl w:val="true"/>
        </w:rPr>
        <w:t>ואת הודאת הנאשם באשמה כבר בהזדמנות הראשונה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התסקיר בעניינו של הנאשם הינו חיובי</w:t>
      </w:r>
      <w:r>
        <w:rPr>
          <w:rtl w:val="true"/>
        </w:rPr>
        <w:t xml:space="preserve">, </w:t>
      </w:r>
      <w:r>
        <w:rPr>
          <w:rtl w:val="true"/>
        </w:rPr>
        <w:t>שירות המבחן התרשם כי הנאשם הביע חרטה על מעשיו והמליץ על עונש של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Style15"/>
        <w:numPr>
          <w:ilvl w:val="0"/>
          <w:numId w:val="1"/>
        </w:numPr>
        <w:ind w:hanging="360" w:start="360" w:end="0"/>
        <w:jc w:val="both"/>
        <w:rPr/>
      </w:pPr>
      <w:r>
        <w:rPr>
          <w:rtl w:val="true"/>
        </w:rPr>
        <w:t>בעניין החזקת רובה אוויר קיימת פסיקה בדבר עונש של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כאשר לא נלוותה למעשה עבירת סמים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5">
        <w:r>
          <w:rPr>
            <w:rStyle w:val="Hyperlink"/>
            <w:color w:val="0000FF"/>
            <w:u w:val="single"/>
            <w:rtl w:val="true"/>
          </w:rPr>
          <w:t xml:space="preserve">תפ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חד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1158/08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משטרת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אגבאריה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2009</w:t>
      </w:r>
      <w:r>
        <w:rPr>
          <w:rtl w:val="true"/>
        </w:rPr>
        <w:t xml:space="preserve">)).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קיימת פסיקה בדבר שישה חודשי עבודות שירות וקנס משמעותי</w:t>
      </w:r>
      <w:r>
        <w:rPr>
          <w:rtl w:val="true"/>
        </w:rPr>
        <w:t xml:space="preserve">, </w:t>
      </w:r>
      <w:r>
        <w:rPr>
          <w:rtl w:val="true"/>
        </w:rPr>
        <w:t xml:space="preserve">כאשר להחזקת רובה אויר נלוותה החזקה של רובה ציד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1093/06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בלאן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2006</w:t>
      </w:r>
      <w:r>
        <w:rPr>
          <w:rtl w:val="true"/>
        </w:rPr>
        <w:t>)).</w:t>
      </w:r>
    </w:p>
    <w:p>
      <w:pPr>
        <w:pStyle w:val="Style15"/>
        <w:numPr>
          <w:ilvl w:val="0"/>
          <w:numId w:val="1"/>
        </w:numPr>
        <w:ind w:hanging="360" w:start="36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לאור העובדה כי מדובר הן בעבירה של החזקת נשק והן בעבירה של החזקת סמים</w:t>
      </w:r>
      <w:r>
        <w:rPr>
          <w:rtl w:val="true"/>
        </w:rPr>
        <w:t xml:space="preserve">, </w:t>
      </w:r>
      <w:r>
        <w:rPr>
          <w:rtl w:val="true"/>
        </w:rPr>
        <w:t>סבורני כי לא ניתן בנסיבות אלה להסתפק בעונש של של</w:t>
      </w:r>
      <w:r>
        <w:rPr>
          <w:rtl w:val="true"/>
        </w:rPr>
        <w:t>"</w:t>
      </w:r>
      <w:r>
        <w:rPr>
          <w:rtl w:val="true"/>
        </w:rPr>
        <w:t>צ ומאסר על תנאי כפי שהמליץ שירות המבחן וכפי שביקש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. </w:t>
      </w:r>
      <w:r>
        <w:rPr>
          <w:rtl w:val="true"/>
        </w:rPr>
        <w:t>באיזון בין מכלול שיקולי הענישה</w:t>
      </w:r>
      <w:r>
        <w:rPr>
          <w:rtl w:val="true"/>
        </w:rPr>
        <w:t xml:space="preserve">, </w:t>
      </w:r>
      <w:r>
        <w:rPr>
          <w:rtl w:val="true"/>
        </w:rPr>
        <w:t>סבורני כי מן הראוי שהעונש יהיה עונש מאסר בפועל אשר ירוצה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כעתירת המאשימה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לאור הנסיבות לקולא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ולאור העובדה שמדובר ברובה אוויר</w:t>
      </w:r>
      <w:r>
        <w:rPr>
          <w:rtl w:val="true"/>
        </w:rPr>
        <w:t xml:space="preserve">, </w:t>
      </w:r>
      <w:r>
        <w:rPr>
          <w:rtl w:val="true"/>
        </w:rPr>
        <w:t>הרי שניתן במקרה דנן להסתפק בתקופה קצרה של עבודות שירות ואין מקום להכביד עם הנאשם בנוגע לאורך התקופה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  <w:t>בנוסף לכך</w:t>
      </w:r>
      <w:r>
        <w:rPr>
          <w:rtl w:val="true"/>
        </w:rPr>
        <w:t xml:space="preserve">, </w:t>
      </w:r>
      <w:r>
        <w:rPr>
          <w:rtl w:val="true"/>
        </w:rPr>
        <w:t>מן הראוי להטיל על הנאשם קנס כספי</w:t>
      </w:r>
      <w:r>
        <w:rPr>
          <w:rtl w:val="true"/>
        </w:rPr>
        <w:t xml:space="preserve">, </w:t>
      </w:r>
      <w:r>
        <w:rPr>
          <w:rtl w:val="true"/>
        </w:rPr>
        <w:t>ואולם ראוי שהקנס יהיה מידתי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1"/>
        </w:numPr>
        <w:ind w:hanging="360" w:start="360" w:end="0"/>
        <w:jc w:val="both"/>
        <w:rPr/>
      </w:pPr>
      <w:r>
        <w:rPr>
          <w:u w:val="single"/>
          <w:rtl w:val="true"/>
        </w:rPr>
        <w:t>אשר על כן אני גוזר על הנאשם את העונשים הבאים</w:t>
      </w:r>
      <w:r>
        <w:rPr>
          <w:rtl w:val="true"/>
        </w:rPr>
        <w:t>:</w:t>
      </w:r>
    </w:p>
    <w:p>
      <w:pPr>
        <w:pStyle w:val="Style15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חודש וחצי עבודות שירות</w:t>
      </w:r>
      <w:r>
        <w:rPr>
          <w:rtl w:val="true"/>
        </w:rPr>
        <w:t xml:space="preserve">. </w:t>
      </w:r>
      <w:r>
        <w:rPr>
          <w:rtl w:val="true"/>
        </w:rPr>
        <w:t>עבודות השירות תבוצענה בהתאם להמלצת הממונה על עבודות השירות בעמותת פשר</w:t>
      </w:r>
      <w:r>
        <w:rPr>
          <w:rtl w:val="true"/>
        </w:rPr>
        <w:t xml:space="preserve">, </w:t>
      </w:r>
      <w:r>
        <w:rPr>
          <w:rtl w:val="true"/>
        </w:rPr>
        <w:t xml:space="preserve">רחוב הצנחנים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בימים א</w:t>
      </w:r>
      <w:r>
        <w:rPr>
          <w:rtl w:val="true"/>
        </w:rPr>
        <w:t>-</w:t>
      </w:r>
      <w:r>
        <w:rPr>
          <w:rtl w:val="true"/>
        </w:rPr>
        <w:t xml:space="preserve">ה בין השעות </w:t>
      </w:r>
      <w:r>
        <w:rPr/>
        <w:t>7:30</w:t>
      </w:r>
      <w:r>
        <w:rPr>
          <w:rtl w:val="true"/>
        </w:rPr>
        <w:t xml:space="preserve"> – </w:t>
      </w:r>
      <w:r>
        <w:rPr/>
        <w:t>14:30</w:t>
      </w:r>
      <w:r>
        <w:rPr>
          <w:rtl w:val="true"/>
        </w:rPr>
        <w:t xml:space="preserve">. </w:t>
      </w:r>
      <w:r>
        <w:rPr>
          <w:rtl w:val="true"/>
        </w:rPr>
        <w:t xml:space="preserve">תחילת עבודות השירות ביום </w:t>
      </w:r>
      <w:r>
        <w:rPr/>
        <w:t>11.11.09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 xml:space="preserve">שישה חודשי מאסר על תנאי לבל יעבור הנאשם על כל עבירה של החזקת נשק או כל עבירה על פי </w:t>
      </w:r>
      <w:hyperlink r:id="rId7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בתוך שלוש שנים מהיום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 xml:space="preserve">קנס כספי בסך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או חודש מאסר תמורתו</w:t>
      </w:r>
      <w:r>
        <w:rPr>
          <w:rtl w:val="true"/>
        </w:rPr>
        <w:t xml:space="preserve">. </w:t>
      </w:r>
      <w:r>
        <w:rPr>
          <w:rtl w:val="true"/>
        </w:rPr>
        <w:t>סכום הקנס יקוזז מתוך הפקדה שהפקיד הנאשם ב</w:t>
      </w:r>
      <w:hyperlink r:id="rId8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ת </w:t>
        </w:r>
        <w:r>
          <w:rPr>
            <w:rStyle w:val="Hyperlink"/>
            <w:color w:val="0000FF"/>
            <w:u w:val="single"/>
          </w:rPr>
          <w:t>19029-05-09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  <w:rtl w:val="true"/>
          </w:rPr>
          <w:t>היתרה תו</w:t>
        </w:r>
      </w:hyperlink>
      <w:r>
        <w:rPr>
          <w:rtl w:val="true"/>
        </w:rPr>
        <w:t>שב לנאשם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ind w:hanging="360" w:start="36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0"/>
        </w:numPr>
        <w:ind w:hanging="360" w:start="360" w:end="0"/>
        <w:jc w:val="both"/>
        <w:rPr/>
      </w:pPr>
      <w:r>
        <w:rPr>
          <w:rtl w:val="true"/>
        </w:rPr>
        <w:t>הנשק יחולט לטובת המדינה</w:t>
      </w:r>
      <w:r>
        <w:rPr>
          <w:rtl w:val="true"/>
        </w:rPr>
        <w:t xml:space="preserve">. </w:t>
      </w:r>
      <w:r>
        <w:rPr>
          <w:rtl w:val="true"/>
        </w:rPr>
        <w:t>הסם יושמד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  <w:t>מזכירות בית</w:t>
      </w:r>
      <w:r>
        <w:rPr>
          <w:rtl w:val="true"/>
        </w:rPr>
        <w:t>-</w:t>
      </w:r>
      <w:r>
        <w:rPr>
          <w:rtl w:val="true"/>
        </w:rPr>
        <w:t>המשפט תשלח העתק גזר</w:t>
      </w:r>
      <w:r>
        <w:rPr>
          <w:rtl w:val="true"/>
        </w:rPr>
        <w:t>-</w:t>
      </w:r>
      <w:r>
        <w:rPr>
          <w:rtl w:val="true"/>
        </w:rPr>
        <w:t>הדין לממונה על עבודות השירות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357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357" w:end="0"/>
        <w:jc w:val="both"/>
        <w:rPr/>
      </w:pPr>
      <w:r>
        <w:rPr>
          <w:rtl w:val="true"/>
        </w:rPr>
        <w:t>זכות ערעור לבית</w:t>
      </w:r>
      <w:r>
        <w:rPr>
          <w:rtl w:val="true"/>
        </w:rPr>
        <w:t>-</w:t>
      </w:r>
      <w:r>
        <w:rPr>
          <w:rtl w:val="true"/>
        </w:rPr>
        <w:t>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26/10/2009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</w:t>
      </w:r>
      <w:r>
        <w:rPr>
          <w:color w:val="000000"/>
          <w:sz w:val="22"/>
          <w:szCs w:val="22"/>
          <w:rtl w:val="true"/>
        </w:rPr>
        <w:t>#</w:t>
      </w:r>
      <w:r>
        <w:rPr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ר </w:t>
            </w:r>
            <w:r>
              <w:rPr>
                <w:b/>
                <w:b/>
                <w:bCs/>
                <w:rtl w:val="true"/>
              </w:rPr>
              <w:t>עמי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קובו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ליטל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גודלי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9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/Users/liorb/Downloads/study2025-p2/SH-09-05-19007-937.doc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19007-05-09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אלסח אברהים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character" w:styleId="Hyperlink">
    <w:name w:val="Hyperlink"/>
    <w:basedOn w:val="Style14"/>
    <w:rPr>
      <w:color w:val="0000FF"/>
      <w:u w:val="single"/>
    </w:rPr>
  </w:style>
  <w:style w:type="character" w:styleId="LineNumber">
    <w:name w:val="lin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Style15">
    <w:name w:val="רשימה ממוספרת"/>
    <w:basedOn w:val="Normal"/>
    <w:qFormat/>
    <w:pPr>
      <w:numPr>
        <w:ilvl w:val="0"/>
        <w:numId w:val="1"/>
      </w:numPr>
      <w:spacing w:lineRule="auto" w:line="360" w:before="0" w:after="120"/>
      <w:jc w:val="both"/>
    </w:pPr>
    <w:rPr>
      <w:rFonts w:eastAsia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P170_001.htm" TargetMode="External"/><Relationship Id="rId4" Type="http://schemas.openxmlformats.org/officeDocument/2006/relationships/hyperlink" Target="http://www.nevo.co.il/links/psika/?link=&#1512;&#1506;&#1508;%206583/06" TargetMode="External"/><Relationship Id="rId5" Type="http://schemas.openxmlformats.org/officeDocument/2006/relationships/hyperlink" Target="http://www.nevo.co.il/links/psika/?link=&#1514;&#1508;%201158/08" TargetMode="External"/><Relationship Id="rId6" Type="http://schemas.openxmlformats.org/officeDocument/2006/relationships/hyperlink" Target="http://www.nevo.co.il/links/psika/?link=&#1506;&#1508;%201093/06" TargetMode="External"/><Relationship Id="rId7" Type="http://schemas.openxmlformats.org/officeDocument/2006/relationships/hyperlink" Target="http://www.nevo.co.il/law_html/law01/P170_001.htm" TargetMode="External"/><Relationship Id="rId8" Type="http://schemas.openxmlformats.org/officeDocument/2006/relationships/hyperlink" Target="http://www.nevo.co.il/links/psika/?NEWPROC=&#1502;&#1514;&amp;NEWPARTA=29-05-09&amp;NEWPARTB=05&amp;NEWPARTC=19029-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2009-10-27T04:09:00Z</dcterms:created>
  <dc:creator> </dc:creator>
  <dc:description/>
  <cp:keywords/>
  <dc:language>en-IL</dc:language>
  <cp:lastModifiedBy>yafit</cp:lastModifiedBy>
  <dcterms:modified xsi:type="dcterms:W3CDTF">2009-10-27T10:02:00Z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אלסח אברהים </vt:lpwstr>
  </property>
  <property fmtid="{D5CDD505-2E9C-101B-9397-08002B2CF9AE}" pid="4" name="CITY">
    <vt:lpwstr>רמ'</vt:lpwstr>
  </property>
  <property fmtid="{D5CDD505-2E9C-101B-9397-08002B2CF9AE}" pid="5" name="DATE">
    <vt:lpwstr>20091026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ד#ר עמי קובו</vt:lpwstr>
  </property>
  <property fmtid="{D5CDD505-2E9C-101B-9397-08002B2CF9AE}" pid="9" name="LAWYER">
    <vt:lpwstr>אופיר פחימה;שוקרי אבו טביק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19007</vt:lpwstr>
  </property>
  <property fmtid="{D5CDD505-2E9C-101B-9397-08002B2CF9AE}" pid="23" name="NEWPARTB">
    <vt:lpwstr>05</vt:lpwstr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RemarkFileName">
    <vt:lpwstr>shalom sh 09 05 19007 937 htm</vt:lpwstr>
  </property>
  <property fmtid="{D5CDD505-2E9C-101B-9397-08002B2CF9AE}" pid="34" name="TYPE">
    <vt:lpwstr>3</vt:lpwstr>
  </property>
  <property fmtid="{D5CDD505-2E9C-101B-9397-08002B2CF9AE}" pid="35" name="TYPE_ABS_DATE">
    <vt:lpwstr>380020091026</vt:lpwstr>
  </property>
  <property fmtid="{D5CDD505-2E9C-101B-9397-08002B2CF9AE}" pid="36" name="TYPE_N_DATE">
    <vt:lpwstr>38020091026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